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2"/>
        <w:ind w:left="0"/>
        <w:rPr>
          <w:rFonts w:ascii="Times New Roman"/>
          <w:sz w:val="21"/>
        </w:rPr>
      </w:pPr>
    </w:p>
    <w:p>
      <w:pPr>
        <w:pStyle w:val="Heading2"/>
        <w:tabs>
          <w:tab w:pos="5850" w:val="left" w:leader="none"/>
        </w:tabs>
        <w:spacing w:before="55"/>
        <w:ind w:left="2713"/>
        <w:rPr>
          <w:rFonts w:ascii="黑体" w:eastAsia="黑体" w:hint="eastAsia"/>
        </w:rPr>
      </w:pPr>
      <w:r>
        <w:rPr/>
        <w:pict>
          <v:group style="position:absolute;margin-left:55.5pt;margin-top:-138.709976pt;width:490.5pt;height:136.25pt;mso-position-horizontal-relative:page;mso-position-vertical-relative:paragraph;z-index:1048" coordorigin="1110,-2774" coordsize="9810,2725">
            <v:line style="position:absolute" from="1248,-2755" to="10804,-2755" stroked="true" strokeweight=".72pt" strokecolor="#000000">
              <v:stroke dashstyle="solid"/>
            </v:line>
            <v:shape style="position:absolute;left:1110;top:-2775;width:9810;height:2725" type="#_x0000_t75" stroked="false">
              <v:imagedata r:id="rId6" o:title=""/>
            </v:shape>
            <w10:wrap type="none"/>
          </v:group>
        </w:pict>
      </w: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199</w:t>
      </w:r>
      <w:r>
        <w:rPr>
          <w:rFonts w:ascii="黑体" w:eastAsia="黑体" w:hint="eastAsia"/>
          <w:spacing w:val="-81"/>
        </w:rPr>
        <w:t> </w:t>
      </w:r>
      <w:r>
        <w:rPr>
          <w:rFonts w:ascii="黑体" w:eastAsia="黑体" w:hint="eastAsia"/>
        </w:rPr>
        <w:t>期</w:t>
      </w:r>
    </w:p>
    <w:p>
      <w:pPr>
        <w:tabs>
          <w:tab w:pos="7004" w:val="left" w:leader="none"/>
        </w:tabs>
        <w:spacing w:before="138"/>
        <w:ind w:left="0" w:right="911" w:firstLine="0"/>
        <w:jc w:val="center"/>
        <w:rPr>
          <w:rFonts w:ascii="Microsoft JhengHei" w:eastAsia="Microsoft JhengHei" w:hint="eastAsia"/>
          <w:b/>
          <w:sz w:val="28"/>
        </w:rPr>
      </w:pPr>
      <w:r>
        <w:rPr/>
        <w:pict>
          <v:line style="position:absolute;mso-position-horizontal-relative:page;mso-position-vertical-relative:paragraph;z-index:-1024;mso-wrap-distance-left:0;mso-wrap-distance-right:0" from="55pt,36.331081pt" to="546.25pt,36.331081pt" stroked="true" strokeweight="2.25pt" strokecolor="#ff0000">
            <v:stroke dashstyle="solid"/>
            <w10:wrap type="topAndBottom"/>
          </v:line>
        </w:pict>
      </w: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3"/>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2019 </w:t>
      </w:r>
      <w:r>
        <w:rPr>
          <w:rFonts w:ascii="Microsoft JhengHei" w:eastAsia="Microsoft JhengHei" w:hint="eastAsia"/>
          <w:b/>
          <w:sz w:val="28"/>
        </w:rPr>
        <w:t>年 </w:t>
      </w:r>
      <w:r>
        <w:rPr>
          <w:rFonts w:ascii="等线" w:eastAsia="等线" w:hint="eastAsia"/>
          <w:b/>
          <w:sz w:val="28"/>
        </w:rPr>
        <w:t>1 </w:t>
      </w:r>
      <w:r>
        <w:rPr>
          <w:rFonts w:ascii="Microsoft JhengHei" w:eastAsia="Microsoft JhengHei" w:hint="eastAsia"/>
          <w:b/>
          <w:sz w:val="28"/>
        </w:rPr>
        <w:t>月 </w:t>
      </w:r>
      <w:r>
        <w:rPr>
          <w:rFonts w:ascii="等线" w:eastAsia="等线" w:hint="eastAsia"/>
          <w:b/>
          <w:sz w:val="28"/>
        </w:rPr>
        <w:t>15</w:t>
      </w:r>
      <w:r>
        <w:rPr>
          <w:rFonts w:ascii="等线" w:eastAsia="等线" w:hint="eastAsia"/>
          <w:b/>
          <w:spacing w:val="-23"/>
          <w:sz w:val="28"/>
        </w:rPr>
        <w:t> </w:t>
      </w:r>
      <w:r>
        <w:rPr>
          <w:rFonts w:ascii="Microsoft JhengHei" w:eastAsia="Microsoft JhengHei" w:hint="eastAsia"/>
          <w:b/>
          <w:sz w:val="28"/>
        </w:rPr>
        <w:t>日</w:t>
      </w:r>
    </w:p>
    <w:p>
      <w:pPr>
        <w:pStyle w:val="BodyText"/>
        <w:spacing w:before="11"/>
        <w:ind w:left="0"/>
        <w:rPr>
          <w:rFonts w:ascii="Microsoft JhengHei"/>
          <w:b/>
          <w:sz w:val="20"/>
        </w:rPr>
      </w:pPr>
    </w:p>
    <w:p>
      <w:pPr>
        <w:pStyle w:val="Heading1"/>
        <w:spacing w:line="536" w:lineRule="exact"/>
        <w:ind w:left="0" w:right="916"/>
        <w:jc w:val="center"/>
        <w:rPr>
          <w:rFonts w:ascii="黑体" w:eastAsia="黑体" w:hint="eastAsia"/>
          <w:u w:val="none"/>
        </w:rPr>
      </w:pPr>
      <w:r>
        <w:rPr>
          <w:rFonts w:ascii="黑体" w:eastAsia="黑体" w:hint="eastAsia"/>
          <w:color w:val="008000"/>
          <w:u w:val="none"/>
        </w:rPr>
        <w:t>目 次</w:t>
      </w:r>
    </w:p>
    <w:p>
      <w:pPr>
        <w:spacing w:line="536" w:lineRule="exact" w:before="0"/>
        <w:ind w:left="0" w:right="912" w:firstLine="0"/>
        <w:jc w:val="center"/>
        <w:rPr>
          <w:rFonts w:ascii="隶书" w:eastAsia="隶书" w:hint="eastAsia"/>
          <w:sz w:val="44"/>
        </w:rPr>
      </w:pPr>
      <w:r>
        <w:rPr>
          <w:rFonts w:ascii="隶书" w:eastAsia="隶书" w:hint="eastAsia"/>
          <w:color w:val="1A5220"/>
          <w:sz w:val="44"/>
        </w:rPr>
        <w:t>政策导览</w:t>
      </w:r>
    </w:p>
    <w:p>
      <w:pPr>
        <w:tabs>
          <w:tab w:pos="9073" w:val="right" w:leader="dot"/>
        </w:tabs>
        <w:spacing w:before="251"/>
        <w:ind w:left="0" w:right="914" w:firstLine="0"/>
        <w:jc w:val="center"/>
        <w:rPr>
          <w:rFonts w:ascii="华文楷体" w:eastAsia="华文楷体" w:hint="eastAsia"/>
          <w:sz w:val="28"/>
        </w:rPr>
      </w:pPr>
      <w:r>
        <w:rPr>
          <w:rFonts w:ascii="华文楷体" w:eastAsia="华文楷体" w:hint="eastAsia"/>
          <w:b/>
          <w:sz w:val="28"/>
        </w:rPr>
        <w:t>【政府要闻】</w:t>
        <w:tab/>
      </w:r>
      <w:r>
        <w:rPr>
          <w:rFonts w:ascii="华文楷体" w:eastAsia="华文楷体" w:hint="eastAsia"/>
          <w:sz w:val="28"/>
        </w:rPr>
        <w:t>1</w:t>
      </w:r>
    </w:p>
    <w:p>
      <w:pPr>
        <w:tabs>
          <w:tab w:pos="9073" w:val="right" w:leader="dot"/>
        </w:tabs>
        <w:spacing w:before="50"/>
        <w:ind w:left="0" w:right="914" w:firstLine="0"/>
        <w:jc w:val="center"/>
        <w:rPr>
          <w:rFonts w:ascii="华文楷体" w:hAnsi="华文楷体" w:eastAsia="华文楷体" w:hint="eastAsia"/>
          <w:sz w:val="28"/>
        </w:rPr>
      </w:pPr>
      <w:r>
        <w:rPr>
          <w:rFonts w:ascii="华文楷体" w:hAnsi="华文楷体" w:eastAsia="华文楷体" w:hint="eastAsia"/>
          <w:sz w:val="28"/>
        </w:rPr>
        <w:t>坚持“</w:t>
      </w:r>
      <w:r>
        <w:rPr>
          <w:rFonts w:ascii="华文楷体" w:hAnsi="华文楷体" w:eastAsia="华文楷体" w:hint="eastAsia"/>
          <w:spacing w:val="-3"/>
          <w:sz w:val="28"/>
        </w:rPr>
        <w:t>三</w:t>
      </w:r>
      <w:r>
        <w:rPr>
          <w:rFonts w:ascii="华文楷体" w:hAnsi="华文楷体" w:eastAsia="华文楷体" w:hint="eastAsia"/>
          <w:sz w:val="28"/>
        </w:rPr>
        <w:t>医”</w:t>
      </w:r>
      <w:r>
        <w:rPr>
          <w:rFonts w:ascii="华文楷体" w:hAnsi="华文楷体" w:eastAsia="华文楷体" w:hint="eastAsia"/>
          <w:spacing w:val="-3"/>
          <w:sz w:val="28"/>
        </w:rPr>
        <w:t>联动</w:t>
      </w:r>
      <w:r>
        <w:rPr>
          <w:rFonts w:ascii="华文楷体" w:hAnsi="华文楷体" w:eastAsia="华文楷体" w:hint="eastAsia"/>
          <w:sz w:val="28"/>
        </w:rPr>
        <w:t>把医改</w:t>
      </w:r>
      <w:r>
        <w:rPr>
          <w:rFonts w:ascii="华文楷体" w:hAnsi="华文楷体" w:eastAsia="华文楷体" w:hint="eastAsia"/>
          <w:spacing w:val="-3"/>
          <w:sz w:val="28"/>
        </w:rPr>
        <w:t>推</w:t>
      </w:r>
      <w:r>
        <w:rPr>
          <w:rFonts w:ascii="华文楷体" w:hAnsi="华文楷体" w:eastAsia="华文楷体" w:hint="eastAsia"/>
          <w:sz w:val="28"/>
        </w:rPr>
        <w:t>向纵深</w:t>
        <w:tab/>
        <w:t>1</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确保医</w:t>
      </w:r>
      <w:r>
        <w:rPr>
          <w:rFonts w:ascii="华文楷体" w:eastAsia="华文楷体" w:hint="eastAsia"/>
          <w:spacing w:val="-3"/>
          <w:sz w:val="28"/>
        </w:rPr>
        <w:t>保</w:t>
      </w:r>
      <w:r>
        <w:rPr>
          <w:rFonts w:ascii="华文楷体" w:eastAsia="华文楷体" w:hint="eastAsia"/>
          <w:sz w:val="28"/>
        </w:rPr>
        <w:t>基金</w:t>
      </w:r>
      <w:r>
        <w:rPr>
          <w:rFonts w:ascii="华文楷体" w:eastAsia="华文楷体" w:hint="eastAsia"/>
          <w:spacing w:val="-3"/>
          <w:sz w:val="28"/>
        </w:rPr>
        <w:t>安</w:t>
      </w:r>
      <w:r>
        <w:rPr>
          <w:rFonts w:ascii="华文楷体" w:eastAsia="华文楷体" w:hint="eastAsia"/>
          <w:sz w:val="28"/>
        </w:rPr>
        <w:t>全</w:t>
      </w:r>
      <w:r>
        <w:rPr>
          <w:rFonts w:ascii="华文楷体" w:eastAsia="华文楷体" w:hint="eastAsia"/>
          <w:spacing w:val="69"/>
          <w:sz w:val="28"/>
        </w:rPr>
        <w:t> </w:t>
      </w:r>
      <w:r>
        <w:rPr>
          <w:rFonts w:ascii="华文楷体" w:eastAsia="华文楷体" w:hint="eastAsia"/>
          <w:sz w:val="28"/>
        </w:rPr>
        <w:t>促进制</w:t>
      </w:r>
      <w:r>
        <w:rPr>
          <w:rFonts w:ascii="华文楷体" w:eastAsia="华文楷体" w:hint="eastAsia"/>
          <w:spacing w:val="-3"/>
          <w:sz w:val="28"/>
        </w:rPr>
        <w:t>度</w:t>
      </w:r>
      <w:r>
        <w:rPr>
          <w:rFonts w:ascii="华文楷体" w:eastAsia="华文楷体" w:hint="eastAsia"/>
          <w:sz w:val="28"/>
        </w:rPr>
        <w:t>公平</w:t>
      </w:r>
      <w:r>
        <w:rPr>
          <w:rFonts w:ascii="华文楷体" w:eastAsia="华文楷体" w:hint="eastAsia"/>
          <w:spacing w:val="-3"/>
          <w:sz w:val="28"/>
        </w:rPr>
        <w:t>可持</w:t>
      </w:r>
      <w:r>
        <w:rPr>
          <w:rFonts w:ascii="华文楷体" w:eastAsia="华文楷体" w:hint="eastAsia"/>
          <w:sz w:val="28"/>
        </w:rPr>
        <w:t>续</w:t>
        <w:tab/>
        <w:t>2</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卫生健</w:t>
      </w:r>
      <w:r>
        <w:rPr>
          <w:rFonts w:ascii="华文楷体" w:eastAsia="华文楷体" w:hint="eastAsia"/>
          <w:spacing w:val="-3"/>
          <w:sz w:val="28"/>
        </w:rPr>
        <w:t>康</w:t>
      </w:r>
      <w:r>
        <w:rPr>
          <w:rFonts w:ascii="华文楷体" w:eastAsia="华文楷体" w:hint="eastAsia"/>
          <w:sz w:val="28"/>
        </w:rPr>
        <w:t>工作聚焦</w:t>
      </w:r>
      <w:r>
        <w:rPr>
          <w:rFonts w:ascii="华文楷体" w:eastAsia="华文楷体" w:hint="eastAsia"/>
          <w:spacing w:val="-3"/>
          <w:sz w:val="28"/>
        </w:rPr>
        <w:t> </w:t>
      </w:r>
      <w:r>
        <w:rPr>
          <w:rFonts w:ascii="华文楷体" w:eastAsia="华文楷体" w:hint="eastAsia"/>
          <w:sz w:val="28"/>
        </w:rPr>
        <w:t>10 项重点</w:t>
        <w:tab/>
        <w:t>2</w:t>
      </w:r>
    </w:p>
    <w:p>
      <w:pPr>
        <w:tabs>
          <w:tab w:pos="9073" w:val="right" w:leader="dot"/>
        </w:tabs>
        <w:spacing w:before="43"/>
        <w:ind w:left="0" w:right="914" w:firstLine="0"/>
        <w:jc w:val="center"/>
        <w:rPr>
          <w:rFonts w:ascii="华文楷体" w:eastAsia="华文楷体" w:hint="eastAsia"/>
          <w:sz w:val="28"/>
        </w:rPr>
      </w:pPr>
      <w:r>
        <w:rPr>
          <w:rFonts w:ascii="华文楷体" w:eastAsia="华文楷体" w:hint="eastAsia"/>
          <w:sz w:val="28"/>
        </w:rPr>
        <w:t>医政医</w:t>
      </w:r>
      <w:r>
        <w:rPr>
          <w:rFonts w:ascii="华文楷体" w:eastAsia="华文楷体" w:hint="eastAsia"/>
          <w:spacing w:val="-3"/>
          <w:sz w:val="28"/>
        </w:rPr>
        <w:t>管</w:t>
      </w:r>
      <w:r>
        <w:rPr>
          <w:rFonts w:ascii="华文楷体" w:eastAsia="华文楷体" w:hint="eastAsia"/>
          <w:sz w:val="28"/>
        </w:rPr>
        <w:t>工作</w:t>
      </w:r>
      <w:r>
        <w:rPr>
          <w:rFonts w:ascii="华文楷体" w:eastAsia="华文楷体" w:hint="eastAsia"/>
          <w:spacing w:val="-3"/>
          <w:sz w:val="28"/>
        </w:rPr>
        <w:t>要点</w:t>
      </w:r>
      <w:r>
        <w:rPr>
          <w:rFonts w:ascii="华文楷体" w:eastAsia="华文楷体" w:hint="eastAsia"/>
          <w:sz w:val="28"/>
        </w:rPr>
        <w:t>发布</w:t>
        <w:tab/>
        <w:t>3</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2018</w:t>
      </w:r>
      <w:r>
        <w:rPr>
          <w:rFonts w:ascii="华文楷体" w:eastAsia="华文楷体" w:hint="eastAsia"/>
          <w:spacing w:val="-1"/>
          <w:sz w:val="28"/>
        </w:rPr>
        <w:t> </w:t>
      </w:r>
      <w:r>
        <w:rPr>
          <w:rFonts w:ascii="华文楷体" w:eastAsia="华文楷体" w:hint="eastAsia"/>
          <w:spacing w:val="-3"/>
          <w:sz w:val="28"/>
        </w:rPr>
        <w:t>年</w:t>
      </w:r>
      <w:r>
        <w:rPr>
          <w:rFonts w:ascii="华文楷体" w:eastAsia="华文楷体" w:hint="eastAsia"/>
          <w:sz w:val="28"/>
        </w:rPr>
        <w:t>度国</w:t>
      </w:r>
      <w:r>
        <w:rPr>
          <w:rFonts w:ascii="华文楷体" w:eastAsia="华文楷体" w:hint="eastAsia"/>
          <w:spacing w:val="-3"/>
          <w:sz w:val="28"/>
        </w:rPr>
        <w:t>家</w:t>
      </w:r>
      <w:r>
        <w:rPr>
          <w:rFonts w:ascii="华文楷体" w:eastAsia="华文楷体" w:hint="eastAsia"/>
          <w:sz w:val="28"/>
        </w:rPr>
        <w:t>科</w:t>
      </w:r>
      <w:r>
        <w:rPr>
          <w:rFonts w:ascii="华文楷体" w:eastAsia="华文楷体" w:hint="eastAsia"/>
          <w:spacing w:val="-3"/>
          <w:sz w:val="28"/>
        </w:rPr>
        <w:t>学</w:t>
      </w:r>
      <w:r>
        <w:rPr>
          <w:rFonts w:ascii="华文楷体" w:eastAsia="华文楷体" w:hint="eastAsia"/>
          <w:sz w:val="28"/>
        </w:rPr>
        <w:t>技术奖</w:t>
      </w:r>
      <w:r>
        <w:rPr>
          <w:rFonts w:ascii="华文楷体" w:eastAsia="华文楷体" w:hint="eastAsia"/>
          <w:spacing w:val="-3"/>
          <w:sz w:val="28"/>
        </w:rPr>
        <w:t>颁</w:t>
      </w:r>
      <w:r>
        <w:rPr>
          <w:rFonts w:ascii="华文楷体" w:eastAsia="华文楷体" w:hint="eastAsia"/>
          <w:sz w:val="28"/>
        </w:rPr>
        <w:t>发</w:t>
        <w:tab/>
        <w:t>4</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b/>
          <w:sz w:val="28"/>
        </w:rPr>
        <w:t>【药监动态】</w:t>
        <w:tab/>
      </w:r>
      <w:r>
        <w:rPr>
          <w:rFonts w:ascii="华文楷体" w:eastAsia="华文楷体" w:hint="eastAsia"/>
          <w:sz w:val="28"/>
        </w:rPr>
        <w:t>5</w:t>
      </w:r>
    </w:p>
    <w:p>
      <w:pPr>
        <w:tabs>
          <w:tab w:pos="9073" w:val="right" w:leader="dot"/>
        </w:tabs>
        <w:spacing w:before="42"/>
        <w:ind w:left="0" w:right="914" w:firstLine="0"/>
        <w:jc w:val="center"/>
        <w:rPr>
          <w:rFonts w:ascii="华文楷体" w:eastAsia="华文楷体" w:hint="eastAsia"/>
          <w:sz w:val="28"/>
        </w:rPr>
      </w:pPr>
      <w:r>
        <w:rPr>
          <w:rFonts w:ascii="华文楷体" w:eastAsia="华文楷体" w:hint="eastAsia"/>
          <w:sz w:val="28"/>
        </w:rPr>
        <w:t>第一批</w:t>
      </w:r>
      <w:r>
        <w:rPr>
          <w:rFonts w:ascii="华文楷体" w:eastAsia="华文楷体" w:hint="eastAsia"/>
          <w:spacing w:val="-3"/>
          <w:sz w:val="28"/>
        </w:rPr>
        <w:t>鼓</w:t>
      </w:r>
      <w:r>
        <w:rPr>
          <w:rFonts w:ascii="华文楷体" w:eastAsia="华文楷体" w:hint="eastAsia"/>
          <w:sz w:val="28"/>
        </w:rPr>
        <w:t>励仿</w:t>
      </w:r>
      <w:r>
        <w:rPr>
          <w:rFonts w:ascii="华文楷体" w:eastAsia="华文楷体" w:hint="eastAsia"/>
          <w:spacing w:val="-3"/>
          <w:sz w:val="28"/>
        </w:rPr>
        <w:t>制的</w:t>
      </w:r>
      <w:r>
        <w:rPr>
          <w:rFonts w:ascii="华文楷体" w:eastAsia="华文楷体" w:hint="eastAsia"/>
          <w:sz w:val="28"/>
        </w:rPr>
        <w:t>药品目录 6</w:t>
      </w:r>
      <w:r>
        <w:rPr>
          <w:rFonts w:ascii="华文楷体" w:eastAsia="华文楷体" w:hint="eastAsia"/>
          <w:spacing w:val="-3"/>
          <w:sz w:val="28"/>
        </w:rPr>
        <w:t> </w:t>
      </w:r>
      <w:r>
        <w:rPr>
          <w:rFonts w:ascii="华文楷体" w:eastAsia="华文楷体" w:hint="eastAsia"/>
          <w:sz w:val="28"/>
        </w:rPr>
        <w:t>月底</w:t>
      </w:r>
      <w:r>
        <w:rPr>
          <w:rFonts w:ascii="华文楷体" w:eastAsia="华文楷体" w:hint="eastAsia"/>
          <w:spacing w:val="-3"/>
          <w:sz w:val="28"/>
        </w:rPr>
        <w:t>前</w:t>
      </w:r>
      <w:r>
        <w:rPr>
          <w:rFonts w:ascii="华文楷体" w:eastAsia="华文楷体" w:hint="eastAsia"/>
          <w:sz w:val="28"/>
        </w:rPr>
        <w:t>发布</w:t>
        <w:tab/>
        <w:t>5</w:t>
      </w:r>
    </w:p>
    <w:p>
      <w:pPr>
        <w:tabs>
          <w:tab w:pos="9073" w:val="right" w:leader="dot"/>
        </w:tabs>
        <w:spacing w:before="41"/>
        <w:ind w:left="0" w:right="914" w:firstLine="0"/>
        <w:jc w:val="center"/>
        <w:rPr>
          <w:rFonts w:ascii="华文楷体" w:eastAsia="华文楷体" w:hint="eastAsia"/>
          <w:sz w:val="28"/>
        </w:rPr>
      </w:pPr>
      <w:r>
        <w:rPr>
          <w:rFonts w:ascii="华文楷体" w:eastAsia="华文楷体" w:hint="eastAsia"/>
          <w:sz w:val="28"/>
        </w:rPr>
        <w:t>吡硫醇</w:t>
      </w:r>
      <w:r>
        <w:rPr>
          <w:rFonts w:ascii="华文楷体" w:eastAsia="华文楷体" w:hint="eastAsia"/>
          <w:spacing w:val="-3"/>
          <w:sz w:val="28"/>
        </w:rPr>
        <w:t>注</w:t>
      </w:r>
      <w:r>
        <w:rPr>
          <w:rFonts w:ascii="华文楷体" w:eastAsia="华文楷体" w:hint="eastAsia"/>
          <w:sz w:val="28"/>
        </w:rPr>
        <w:t>射剂</w:t>
      </w:r>
      <w:r>
        <w:rPr>
          <w:rFonts w:ascii="华文楷体" w:eastAsia="华文楷体" w:hint="eastAsia"/>
          <w:spacing w:val="-3"/>
          <w:sz w:val="28"/>
        </w:rPr>
        <w:t>停止</w:t>
      </w:r>
      <w:r>
        <w:rPr>
          <w:rFonts w:ascii="华文楷体" w:eastAsia="华文楷体" w:hint="eastAsia"/>
          <w:sz w:val="28"/>
        </w:rPr>
        <w:t>生产销</w:t>
      </w:r>
      <w:r>
        <w:rPr>
          <w:rFonts w:ascii="华文楷体" w:eastAsia="华文楷体" w:hint="eastAsia"/>
          <w:spacing w:val="-3"/>
          <w:sz w:val="28"/>
        </w:rPr>
        <w:t>售</w:t>
      </w:r>
      <w:r>
        <w:rPr>
          <w:rFonts w:ascii="华文楷体" w:eastAsia="华文楷体" w:hint="eastAsia"/>
          <w:sz w:val="28"/>
        </w:rPr>
        <w:t>和使用</w:t>
        <w:tab/>
        <w:t>5</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第十九</w:t>
      </w:r>
      <w:r>
        <w:rPr>
          <w:rFonts w:ascii="华文楷体" w:eastAsia="华文楷体" w:hint="eastAsia"/>
          <w:spacing w:val="-3"/>
          <w:sz w:val="28"/>
        </w:rPr>
        <w:t>批</w:t>
      </w:r>
      <w:r>
        <w:rPr>
          <w:rFonts w:ascii="华文楷体" w:eastAsia="华文楷体" w:hint="eastAsia"/>
          <w:sz w:val="28"/>
        </w:rPr>
        <w:t>仿制</w:t>
      </w:r>
      <w:r>
        <w:rPr>
          <w:rFonts w:ascii="华文楷体" w:eastAsia="华文楷体" w:hint="eastAsia"/>
          <w:spacing w:val="-3"/>
          <w:sz w:val="28"/>
        </w:rPr>
        <w:t>药参</w:t>
      </w:r>
      <w:r>
        <w:rPr>
          <w:rFonts w:ascii="华文楷体" w:eastAsia="华文楷体" w:hint="eastAsia"/>
          <w:sz w:val="28"/>
        </w:rPr>
        <w:t>比制剂</w:t>
      </w:r>
      <w:r>
        <w:rPr>
          <w:rFonts w:ascii="华文楷体" w:eastAsia="华文楷体" w:hint="eastAsia"/>
          <w:spacing w:val="-3"/>
          <w:sz w:val="28"/>
        </w:rPr>
        <w:t>目</w:t>
      </w:r>
      <w:r>
        <w:rPr>
          <w:rFonts w:ascii="华文楷体" w:eastAsia="华文楷体" w:hint="eastAsia"/>
          <w:sz w:val="28"/>
        </w:rPr>
        <w:t>录发布</w:t>
        <w:tab/>
        <w:t>6</w:t>
      </w:r>
    </w:p>
    <w:p>
      <w:pPr>
        <w:tabs>
          <w:tab w:pos="9073" w:val="right" w:leader="dot"/>
        </w:tabs>
        <w:spacing w:before="42"/>
        <w:ind w:left="0" w:right="914" w:firstLine="0"/>
        <w:jc w:val="center"/>
        <w:rPr>
          <w:rFonts w:ascii="华文楷体" w:eastAsia="华文楷体" w:hint="eastAsia"/>
          <w:sz w:val="28"/>
        </w:rPr>
      </w:pPr>
      <w:r>
        <w:rPr>
          <w:rFonts w:ascii="华文楷体" w:eastAsia="华文楷体" w:hint="eastAsia"/>
          <w:sz w:val="28"/>
        </w:rPr>
        <w:t>14</w:t>
      </w:r>
      <w:r>
        <w:rPr>
          <w:rFonts w:ascii="华文楷体" w:eastAsia="华文楷体" w:hint="eastAsia"/>
          <w:spacing w:val="-1"/>
          <w:sz w:val="28"/>
        </w:rPr>
        <w:t> </w:t>
      </w:r>
      <w:r>
        <w:rPr>
          <w:rFonts w:ascii="华文楷体" w:eastAsia="华文楷体" w:hint="eastAsia"/>
          <w:sz w:val="28"/>
        </w:rPr>
        <w:t>个品</w:t>
      </w:r>
      <w:r>
        <w:rPr>
          <w:rFonts w:ascii="华文楷体" w:eastAsia="华文楷体" w:hint="eastAsia"/>
          <w:spacing w:val="-3"/>
          <w:sz w:val="28"/>
        </w:rPr>
        <w:t>种</w:t>
      </w:r>
      <w:r>
        <w:rPr>
          <w:rFonts w:ascii="华文楷体" w:eastAsia="华文楷体" w:hint="eastAsia"/>
          <w:sz w:val="28"/>
        </w:rPr>
        <w:t>可豁</w:t>
      </w:r>
      <w:r>
        <w:rPr>
          <w:rFonts w:ascii="华文楷体" w:eastAsia="华文楷体" w:hint="eastAsia"/>
          <w:spacing w:val="-3"/>
          <w:sz w:val="28"/>
        </w:rPr>
        <w:t>免或</w:t>
      </w:r>
      <w:r>
        <w:rPr>
          <w:rFonts w:ascii="华文楷体" w:eastAsia="华文楷体" w:hint="eastAsia"/>
          <w:sz w:val="28"/>
        </w:rPr>
        <w:t>简化 BE </w:t>
      </w:r>
      <w:r>
        <w:rPr>
          <w:rFonts w:ascii="华文楷体" w:eastAsia="华文楷体" w:hint="eastAsia"/>
          <w:spacing w:val="-3"/>
          <w:sz w:val="28"/>
        </w:rPr>
        <w:t>试验</w:t>
        <w:tab/>
      </w:r>
      <w:r>
        <w:rPr>
          <w:rFonts w:ascii="华文楷体" w:eastAsia="华文楷体" w:hint="eastAsia"/>
          <w:sz w:val="28"/>
        </w:rPr>
        <w:t>6</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药审中</w:t>
      </w:r>
      <w:r>
        <w:rPr>
          <w:rFonts w:ascii="华文楷体" w:eastAsia="华文楷体" w:hint="eastAsia"/>
          <w:spacing w:val="-3"/>
          <w:sz w:val="28"/>
        </w:rPr>
        <w:t>心</w:t>
      </w:r>
      <w:r>
        <w:rPr>
          <w:rFonts w:ascii="华文楷体" w:eastAsia="华文楷体" w:hint="eastAsia"/>
          <w:sz w:val="28"/>
        </w:rPr>
        <w:t>公示</w:t>
      </w:r>
      <w:r>
        <w:rPr>
          <w:rFonts w:ascii="华文楷体" w:eastAsia="华文楷体" w:hint="eastAsia"/>
          <w:spacing w:val="-1"/>
          <w:sz w:val="28"/>
        </w:rPr>
        <w:t> </w:t>
      </w:r>
      <w:r>
        <w:rPr>
          <w:rFonts w:ascii="华文楷体" w:eastAsia="华文楷体" w:hint="eastAsia"/>
          <w:sz w:val="28"/>
        </w:rPr>
        <w:t>36</w:t>
      </w:r>
      <w:r>
        <w:rPr>
          <w:rFonts w:ascii="华文楷体" w:eastAsia="华文楷体" w:hint="eastAsia"/>
          <w:spacing w:val="-1"/>
          <w:sz w:val="28"/>
        </w:rPr>
        <w:t> </w:t>
      </w:r>
      <w:r>
        <w:rPr>
          <w:rFonts w:ascii="华文楷体" w:eastAsia="华文楷体" w:hint="eastAsia"/>
          <w:spacing w:val="-3"/>
          <w:sz w:val="28"/>
        </w:rPr>
        <w:t>个</w:t>
      </w:r>
      <w:r>
        <w:rPr>
          <w:rFonts w:ascii="华文楷体" w:eastAsia="华文楷体" w:hint="eastAsia"/>
          <w:sz w:val="28"/>
        </w:rPr>
        <w:t>优先审</w:t>
      </w:r>
      <w:r>
        <w:rPr>
          <w:rFonts w:ascii="华文楷体" w:eastAsia="华文楷体" w:hint="eastAsia"/>
          <w:spacing w:val="-3"/>
          <w:sz w:val="28"/>
        </w:rPr>
        <w:t>评</w:t>
      </w:r>
      <w:r>
        <w:rPr>
          <w:rFonts w:ascii="华文楷体" w:eastAsia="华文楷体" w:hint="eastAsia"/>
          <w:sz w:val="28"/>
        </w:rPr>
        <w:t>品种</w:t>
        <w:tab/>
        <w:t>7</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阿扎那韦等</w:t>
      </w:r>
      <w:r>
        <w:rPr>
          <w:rFonts w:ascii="华文楷体" w:eastAsia="华文楷体" w:hint="eastAsia"/>
          <w:spacing w:val="-3"/>
          <w:sz w:val="28"/>
        </w:rPr>
        <w:t> </w:t>
      </w:r>
      <w:r>
        <w:rPr>
          <w:rFonts w:ascii="华文楷体" w:eastAsia="华文楷体" w:hint="eastAsia"/>
          <w:sz w:val="28"/>
        </w:rPr>
        <w:t>7</w:t>
      </w:r>
      <w:r>
        <w:rPr>
          <w:rFonts w:ascii="华文楷体" w:eastAsia="华文楷体" w:hint="eastAsia"/>
          <w:spacing w:val="-1"/>
          <w:sz w:val="28"/>
        </w:rPr>
        <w:t> </w:t>
      </w:r>
      <w:r>
        <w:rPr>
          <w:rFonts w:ascii="华文楷体" w:eastAsia="华文楷体" w:hint="eastAsia"/>
          <w:sz w:val="28"/>
        </w:rPr>
        <w:t>个</w:t>
      </w:r>
      <w:r>
        <w:rPr>
          <w:rFonts w:ascii="华文楷体" w:eastAsia="华文楷体" w:hint="eastAsia"/>
          <w:spacing w:val="-3"/>
          <w:sz w:val="28"/>
        </w:rPr>
        <w:t>过</w:t>
      </w:r>
      <w:r>
        <w:rPr>
          <w:rFonts w:ascii="华文楷体" w:eastAsia="华文楷体" w:hint="eastAsia"/>
          <w:sz w:val="28"/>
        </w:rPr>
        <w:t>期</w:t>
      </w:r>
      <w:r>
        <w:rPr>
          <w:rFonts w:ascii="华文楷体" w:eastAsia="华文楷体" w:hint="eastAsia"/>
          <w:spacing w:val="69"/>
          <w:sz w:val="28"/>
        </w:rPr>
        <w:t> </w:t>
      </w:r>
      <w:r>
        <w:rPr>
          <w:rFonts w:ascii="华文楷体" w:eastAsia="华文楷体" w:hint="eastAsia"/>
          <w:sz w:val="28"/>
        </w:rPr>
        <w:t>专利药</w:t>
      </w:r>
      <w:r>
        <w:rPr>
          <w:rFonts w:ascii="华文楷体" w:eastAsia="华文楷体" w:hint="eastAsia"/>
          <w:spacing w:val="-3"/>
          <w:sz w:val="28"/>
        </w:rPr>
        <w:t>尚</w:t>
      </w:r>
      <w:r>
        <w:rPr>
          <w:rFonts w:ascii="华文楷体" w:eastAsia="华文楷体" w:hint="eastAsia"/>
          <w:sz w:val="28"/>
        </w:rPr>
        <w:t>无仿</w:t>
      </w:r>
      <w:r>
        <w:rPr>
          <w:rFonts w:ascii="华文楷体" w:eastAsia="华文楷体" w:hint="eastAsia"/>
          <w:spacing w:val="-3"/>
          <w:sz w:val="28"/>
        </w:rPr>
        <w:t>制</w:t>
      </w:r>
      <w:r>
        <w:rPr>
          <w:rFonts w:ascii="华文楷体" w:eastAsia="华文楷体" w:hint="eastAsia"/>
          <w:sz w:val="28"/>
        </w:rPr>
        <w:t>申请</w:t>
        <w:tab/>
        <w:t>7</w:t>
      </w:r>
    </w:p>
    <w:p>
      <w:pPr>
        <w:tabs>
          <w:tab w:pos="9073" w:val="right" w:leader="dot"/>
        </w:tabs>
        <w:spacing w:before="43"/>
        <w:ind w:left="0" w:right="914" w:firstLine="0"/>
        <w:jc w:val="center"/>
        <w:rPr>
          <w:rFonts w:ascii="华文楷体" w:eastAsia="华文楷体" w:hint="eastAsia"/>
          <w:sz w:val="28"/>
        </w:rPr>
      </w:pPr>
      <w:r>
        <w:rPr>
          <w:rFonts w:ascii="华文楷体" w:eastAsia="华文楷体" w:hint="eastAsia"/>
          <w:sz w:val="28"/>
        </w:rPr>
        <w:t>反原料</w:t>
      </w:r>
      <w:r>
        <w:rPr>
          <w:rFonts w:ascii="华文楷体" w:eastAsia="华文楷体" w:hint="eastAsia"/>
          <w:spacing w:val="-3"/>
          <w:sz w:val="28"/>
        </w:rPr>
        <w:t>药</w:t>
      </w:r>
      <w:r>
        <w:rPr>
          <w:rFonts w:ascii="华文楷体" w:eastAsia="华文楷体" w:hint="eastAsia"/>
          <w:sz w:val="28"/>
        </w:rPr>
        <w:t>价格</w:t>
      </w:r>
      <w:r>
        <w:rPr>
          <w:rFonts w:ascii="华文楷体" w:eastAsia="华文楷体" w:hint="eastAsia"/>
          <w:spacing w:val="-3"/>
          <w:sz w:val="28"/>
        </w:rPr>
        <w:t>垄断</w:t>
      </w:r>
      <w:r>
        <w:rPr>
          <w:rFonts w:ascii="华文楷体" w:eastAsia="华文楷体" w:hint="eastAsia"/>
          <w:sz w:val="28"/>
        </w:rPr>
        <w:t>还需发力</w:t>
        <w:tab/>
        <w:t>8</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b/>
          <w:sz w:val="28"/>
        </w:rPr>
        <w:t>【医保信息】</w:t>
        <w:tab/>
      </w:r>
      <w:r>
        <w:rPr>
          <w:rFonts w:ascii="华文楷体" w:eastAsia="华文楷体" w:hint="eastAsia"/>
          <w:sz w:val="28"/>
        </w:rPr>
        <w:t>8</w:t>
      </w:r>
    </w:p>
    <w:p>
      <w:pPr>
        <w:tabs>
          <w:tab w:pos="9073" w:val="right" w:leader="dot"/>
        </w:tabs>
        <w:spacing w:before="40"/>
        <w:ind w:left="0" w:right="914" w:firstLine="0"/>
        <w:jc w:val="center"/>
        <w:rPr>
          <w:rFonts w:ascii="华文楷体" w:eastAsia="华文楷体" w:hint="eastAsia"/>
          <w:sz w:val="28"/>
        </w:rPr>
      </w:pPr>
      <w:r>
        <w:rPr>
          <w:rFonts w:ascii="华文楷体" w:eastAsia="华文楷体" w:hint="eastAsia"/>
          <w:sz w:val="28"/>
        </w:rPr>
        <w:t>浙江追</w:t>
      </w:r>
      <w:r>
        <w:rPr>
          <w:rFonts w:ascii="华文楷体" w:eastAsia="华文楷体" w:hint="eastAsia"/>
          <w:spacing w:val="-3"/>
          <w:sz w:val="28"/>
        </w:rPr>
        <w:t>回</w:t>
      </w:r>
      <w:r>
        <w:rPr>
          <w:rFonts w:ascii="华文楷体" w:eastAsia="华文楷体" w:hint="eastAsia"/>
          <w:sz w:val="28"/>
        </w:rPr>
        <w:t>医保基金</w:t>
      </w:r>
      <w:r>
        <w:rPr>
          <w:rFonts w:ascii="华文楷体" w:eastAsia="华文楷体" w:hint="eastAsia"/>
          <w:spacing w:val="-3"/>
          <w:sz w:val="28"/>
        </w:rPr>
        <w:t> </w:t>
      </w:r>
      <w:r>
        <w:rPr>
          <w:rFonts w:ascii="华文楷体" w:eastAsia="华文楷体" w:hint="eastAsia"/>
          <w:sz w:val="28"/>
        </w:rPr>
        <w:t>1279 万元</w:t>
        <w:tab/>
        <w:t>8</w:t>
      </w:r>
    </w:p>
    <w:p>
      <w:pPr>
        <w:tabs>
          <w:tab w:pos="9073" w:val="right" w:leader="dot"/>
        </w:tabs>
        <w:spacing w:before="42"/>
        <w:ind w:left="0" w:right="914" w:firstLine="0"/>
        <w:jc w:val="center"/>
        <w:rPr>
          <w:rFonts w:ascii="华文楷体" w:eastAsia="华文楷体" w:hint="eastAsia"/>
          <w:sz w:val="28"/>
        </w:rPr>
      </w:pPr>
      <w:r>
        <w:rPr>
          <w:rFonts w:ascii="华文楷体" w:eastAsia="华文楷体" w:hint="eastAsia"/>
          <w:sz w:val="28"/>
        </w:rPr>
        <w:t>重庆将</w:t>
      </w:r>
      <w:r>
        <w:rPr>
          <w:rFonts w:ascii="华文楷体" w:eastAsia="华文楷体" w:hint="eastAsia"/>
          <w:spacing w:val="-3"/>
          <w:sz w:val="28"/>
        </w:rPr>
        <w:t>上</w:t>
      </w:r>
      <w:r>
        <w:rPr>
          <w:rFonts w:ascii="华文楷体" w:eastAsia="华文楷体" w:hint="eastAsia"/>
          <w:sz w:val="28"/>
        </w:rPr>
        <w:t>市仿</w:t>
      </w:r>
      <w:r>
        <w:rPr>
          <w:rFonts w:ascii="华文楷体" w:eastAsia="华文楷体" w:hint="eastAsia"/>
          <w:spacing w:val="-3"/>
          <w:sz w:val="28"/>
        </w:rPr>
        <w:t>制药</w:t>
      </w:r>
      <w:r>
        <w:rPr>
          <w:rFonts w:ascii="华文楷体" w:eastAsia="华文楷体" w:hint="eastAsia"/>
          <w:sz w:val="28"/>
        </w:rPr>
        <w:t>纳入医保</w:t>
        <w:tab/>
        <w:t>9</w:t>
      </w:r>
    </w:p>
    <w:p>
      <w:pPr>
        <w:spacing w:after="0"/>
        <w:jc w:val="center"/>
        <w:rPr>
          <w:rFonts w:ascii="华文楷体" w:eastAsia="华文楷体" w:hint="eastAsia"/>
          <w:sz w:val="28"/>
        </w:rPr>
        <w:sectPr>
          <w:footerReference w:type="default" r:id="rId5"/>
          <w:type w:val="continuous"/>
          <w:pgSz w:w="11910" w:h="16850"/>
          <w:pgMar w:footer="825" w:top="1080" w:bottom="1020" w:left="1060" w:right="0"/>
          <w:pgNumType w:start="1"/>
        </w:sectPr>
      </w:pPr>
    </w:p>
    <w:sdt>
      <w:sdtPr>
        <w:docPartObj>
          <w:docPartGallery w:val="Table of Contents"/>
          <w:docPartUnique/>
        </w:docPartObj>
      </w:sdtPr>
      <w:sdtEndPr/>
      <w:sdtContent>
        <w:p>
          <w:pPr>
            <w:pStyle w:val="TOC2"/>
            <w:tabs>
              <w:tab w:pos="9073" w:val="right" w:leader="dot"/>
            </w:tabs>
            <w:spacing w:before="258"/>
            <w:rPr>
              <w:b w:val="0"/>
            </w:rPr>
          </w:pPr>
          <w:hyperlink w:history="true" w:anchor="_TOC_250044">
            <w:r>
              <w:rPr/>
              <w:t>【医改新政】</w:t>
              <w:tab/>
            </w:r>
            <w:r>
              <w:rPr>
                <w:b w:val="0"/>
              </w:rPr>
              <w:t>9</w:t>
            </w:r>
          </w:hyperlink>
        </w:p>
        <w:p>
          <w:pPr>
            <w:pStyle w:val="TOC3"/>
            <w:tabs>
              <w:tab w:pos="9073" w:val="right" w:leader="dot"/>
            </w:tabs>
            <w:ind w:right="914"/>
          </w:pPr>
          <w:hyperlink w:history="true" w:anchor="_TOC_250043">
            <w:r>
              <w:rPr/>
              <w:t>博鳌获</w:t>
            </w:r>
            <w:r>
              <w:rPr>
                <w:spacing w:val="-3"/>
              </w:rPr>
              <w:t>临</w:t>
            </w:r>
            <w:r>
              <w:rPr/>
              <w:t>床用</w:t>
            </w:r>
            <w:r>
              <w:rPr>
                <w:spacing w:val="-3"/>
              </w:rPr>
              <w:t>药“</w:t>
            </w:r>
            <w:r>
              <w:rPr/>
              <w:t>特权”</w:t>
              <w:tab/>
              <w:t>9</w:t>
            </w:r>
          </w:hyperlink>
        </w:p>
        <w:p>
          <w:pPr>
            <w:pStyle w:val="TOC3"/>
            <w:tabs>
              <w:tab w:pos="9073" w:val="right" w:leader="dot"/>
            </w:tabs>
            <w:ind w:right="914"/>
          </w:pPr>
          <w:hyperlink w:history="true" w:anchor="_TOC_250042">
            <w:r>
              <w:rPr/>
              <w:t>行业资讯</w:t>
              <w:tab/>
              <w:t>9</w:t>
            </w:r>
          </w:hyperlink>
        </w:p>
        <w:p>
          <w:pPr>
            <w:pStyle w:val="TOC2"/>
            <w:tabs>
              <w:tab w:pos="9073" w:val="right" w:leader="dot"/>
            </w:tabs>
            <w:rPr>
              <w:b w:val="0"/>
            </w:rPr>
          </w:pPr>
          <w:hyperlink w:history="true" w:anchor="_TOC_250041">
            <w:r>
              <w:rPr/>
              <w:t>【热点聚焦】</w:t>
              <w:tab/>
            </w:r>
            <w:r>
              <w:rPr>
                <w:b w:val="0"/>
              </w:rPr>
              <w:t>9</w:t>
            </w:r>
          </w:hyperlink>
        </w:p>
        <w:p>
          <w:pPr>
            <w:pStyle w:val="TOC3"/>
            <w:tabs>
              <w:tab w:pos="9073" w:val="right" w:leader="dot"/>
            </w:tabs>
            <w:ind w:right="914"/>
          </w:pPr>
          <w:hyperlink w:history="true" w:anchor="_TOC_250040">
            <w:r>
              <w:rPr/>
              <w:t>2019</w:t>
            </w:r>
            <w:r>
              <w:rPr>
                <w:spacing w:val="-1"/>
              </w:rPr>
              <w:t> </w:t>
            </w:r>
            <w:r>
              <w:rPr>
                <w:spacing w:val="-3"/>
              </w:rPr>
              <w:t>药</w:t>
            </w:r>
            <w:r>
              <w:rPr/>
              <w:t>品招</w:t>
            </w:r>
            <w:r>
              <w:rPr>
                <w:spacing w:val="-3"/>
              </w:rPr>
              <w:t>采</w:t>
            </w:r>
            <w:r>
              <w:rPr/>
              <w:t>降</w:t>
            </w:r>
            <w:r>
              <w:rPr>
                <w:spacing w:val="-3"/>
              </w:rPr>
              <w:t>价</w:t>
            </w:r>
            <w:r>
              <w:rPr/>
              <w:t>压力有</w:t>
            </w:r>
            <w:r>
              <w:rPr>
                <w:spacing w:val="-3"/>
              </w:rPr>
              <w:t>多</w:t>
            </w:r>
            <w:r>
              <w:rPr/>
              <w:t>大？</w:t>
              <w:tab/>
              <w:t>9</w:t>
            </w:r>
          </w:hyperlink>
        </w:p>
        <w:p>
          <w:pPr>
            <w:pStyle w:val="TOC1"/>
          </w:pPr>
          <w:hyperlink w:history="true" w:anchor="_TOC_250039">
            <w:r>
              <w:rPr>
                <w:color w:val="1A5220"/>
              </w:rPr>
              <w:t>医药前沿</w:t>
            </w:r>
          </w:hyperlink>
        </w:p>
        <w:p>
          <w:pPr>
            <w:pStyle w:val="TOC4"/>
            <w:tabs>
              <w:tab w:pos="9075" w:val="right" w:leader="dot"/>
            </w:tabs>
            <w:spacing w:before="72"/>
            <w:rPr>
              <w:b w:val="0"/>
              <w:i w:val="0"/>
              <w:sz w:val="28"/>
            </w:rPr>
          </w:pPr>
          <w:r>
            <w:rPr>
              <w:i w:val="0"/>
              <w:sz w:val="28"/>
            </w:rPr>
            <w:t>【前沿速览】</w:t>
            <w:tab/>
          </w:r>
          <w:r>
            <w:rPr>
              <w:b w:val="0"/>
              <w:i w:val="0"/>
              <w:sz w:val="28"/>
            </w:rPr>
            <w:t>12</w:t>
          </w:r>
        </w:p>
        <w:p>
          <w:pPr>
            <w:pStyle w:val="TOC3"/>
            <w:tabs>
              <w:tab w:pos="9075" w:val="right" w:leader="dot"/>
            </w:tabs>
            <w:spacing w:before="42"/>
          </w:pPr>
          <w:hyperlink w:history="true" w:anchor="_TOC_250038">
            <w:r>
              <w:rPr/>
              <w:t>乳腺癌</w:t>
            </w:r>
            <w:r>
              <w:rPr>
                <w:spacing w:val="-3"/>
              </w:rPr>
              <w:t>基</w:t>
            </w:r>
            <w:r>
              <w:rPr/>
              <w:t>因检</w:t>
            </w:r>
            <w:r>
              <w:rPr>
                <w:spacing w:val="-3"/>
              </w:rPr>
              <w:t>测可</w:t>
            </w:r>
            <w:r>
              <w:rPr/>
              <w:t>大幅减</w:t>
            </w:r>
            <w:r>
              <w:rPr>
                <w:spacing w:val="-3"/>
              </w:rPr>
              <w:t>少</w:t>
            </w:r>
            <w:r>
              <w:rPr/>
              <w:t>不必</w:t>
            </w:r>
            <w:r>
              <w:rPr>
                <w:spacing w:val="-3"/>
              </w:rPr>
              <w:t>要化</w:t>
            </w:r>
            <w:r>
              <w:rPr/>
              <w:t>疗</w:t>
              <w:tab/>
              <w:t>12</w:t>
            </w:r>
          </w:hyperlink>
        </w:p>
        <w:p>
          <w:pPr>
            <w:pStyle w:val="TOC4"/>
            <w:tabs>
              <w:tab w:pos="9075" w:val="right" w:leader="dot"/>
            </w:tabs>
            <w:rPr>
              <w:b w:val="0"/>
              <w:i w:val="0"/>
              <w:sz w:val="28"/>
            </w:rPr>
          </w:pPr>
          <w:hyperlink w:history="true" w:anchor="_TOC_250037">
            <w:r>
              <w:rPr>
                <w:i w:val="0"/>
                <w:sz w:val="28"/>
              </w:rPr>
              <w:t>【研究进展】</w:t>
              <w:tab/>
            </w:r>
            <w:r>
              <w:rPr>
                <w:b w:val="0"/>
                <w:i w:val="0"/>
                <w:sz w:val="28"/>
              </w:rPr>
              <w:t>12</w:t>
            </w:r>
          </w:hyperlink>
        </w:p>
        <w:p>
          <w:pPr>
            <w:pStyle w:val="TOC3"/>
            <w:tabs>
              <w:tab w:pos="9075" w:val="right" w:leader="dot"/>
            </w:tabs>
          </w:pPr>
          <w:hyperlink w:history="true" w:anchor="_TOC_250036">
            <w:r>
              <w:rPr/>
              <w:t>尼古丁</w:t>
            </w:r>
            <w:r>
              <w:rPr>
                <w:spacing w:val="-3"/>
              </w:rPr>
              <w:t>与</w:t>
            </w:r>
            <w:r>
              <w:rPr/>
              <w:t>酒精</w:t>
            </w:r>
            <w:r>
              <w:rPr>
                <w:spacing w:val="-3"/>
              </w:rPr>
              <w:t>的成</w:t>
            </w:r>
            <w:r>
              <w:rPr/>
              <w:t>瘾机制</w:t>
            </w:r>
            <w:r>
              <w:rPr>
                <w:spacing w:val="-3"/>
              </w:rPr>
              <w:t>被</w:t>
            </w:r>
            <w:r>
              <w:rPr/>
              <w:t>揭示</w:t>
              <w:tab/>
              <w:t>12</w:t>
            </w:r>
          </w:hyperlink>
        </w:p>
        <w:p>
          <w:pPr>
            <w:pStyle w:val="TOC3"/>
            <w:tabs>
              <w:tab w:pos="9075" w:val="right" w:leader="dot"/>
            </w:tabs>
            <w:spacing w:before="43"/>
          </w:pPr>
          <w:hyperlink w:history="true" w:anchor="_TOC_250035">
            <w:r>
              <w:rPr/>
              <w:t>选择性</w:t>
            </w:r>
            <w:r>
              <w:rPr>
                <w:spacing w:val="-3"/>
              </w:rPr>
              <w:t>调</w:t>
            </w:r>
            <w:r>
              <w:rPr/>
              <w:t>控记</w:t>
            </w:r>
            <w:r>
              <w:rPr>
                <w:spacing w:val="-3"/>
              </w:rPr>
              <w:t>忆可</w:t>
            </w:r>
            <w:r>
              <w:rPr/>
              <w:t>改变价</w:t>
            </w:r>
            <w:r>
              <w:rPr>
                <w:spacing w:val="-3"/>
              </w:rPr>
              <w:t>值</w:t>
            </w:r>
            <w:r>
              <w:rPr/>
              <w:t>决策</w:t>
              <w:tab/>
              <w:t>13</w:t>
            </w:r>
          </w:hyperlink>
        </w:p>
        <w:p>
          <w:pPr>
            <w:pStyle w:val="TOC3"/>
            <w:tabs>
              <w:tab w:pos="9075" w:val="right" w:leader="dot"/>
            </w:tabs>
          </w:pPr>
          <w:hyperlink w:history="true" w:anchor="_TOC_250034">
            <w:r>
              <w:rPr/>
              <w:t>抑制症</w:t>
            </w:r>
            <w:r>
              <w:rPr>
                <w:spacing w:val="-3"/>
              </w:rPr>
              <w:t>治</w:t>
            </w:r>
            <w:r>
              <w:rPr/>
              <w:t>疗有</w:t>
            </w:r>
            <w:r>
              <w:rPr>
                <w:spacing w:val="-3"/>
              </w:rPr>
              <w:t>新干</w:t>
            </w:r>
            <w:r>
              <w:rPr/>
              <w:t>预靶点</w:t>
              <w:tab/>
              <w:t>14</w:t>
            </w:r>
          </w:hyperlink>
        </w:p>
        <w:p>
          <w:pPr>
            <w:pStyle w:val="TOC3"/>
            <w:tabs>
              <w:tab w:pos="9075" w:val="right" w:leader="dot"/>
            </w:tabs>
          </w:pPr>
          <w:hyperlink w:history="true" w:anchor="_TOC_250033">
            <w:r>
              <w:rPr/>
              <w:t>纺锤形</w:t>
            </w:r>
            <w:r>
              <w:rPr>
                <w:spacing w:val="-3"/>
              </w:rPr>
              <w:t>神</w:t>
            </w:r>
            <w:r>
              <w:rPr/>
              <w:t>经元</w:t>
            </w:r>
            <w:r>
              <w:rPr>
                <w:spacing w:val="-3"/>
              </w:rPr>
              <w:t>转录</w:t>
            </w:r>
            <w:r>
              <w:rPr/>
              <w:t>图谱获析</w:t>
              <w:tab/>
              <w:t>14</w:t>
            </w:r>
          </w:hyperlink>
        </w:p>
        <w:p>
          <w:pPr>
            <w:pStyle w:val="TOC3"/>
            <w:tabs>
              <w:tab w:pos="9075" w:val="right" w:leader="dot"/>
            </w:tabs>
            <w:spacing w:before="43"/>
          </w:pPr>
          <w:hyperlink w:history="true" w:anchor="_TOC_250032">
            <w:r>
              <w:rPr/>
              <w:t>纳米探</w:t>
            </w:r>
            <w:r>
              <w:rPr>
                <w:spacing w:val="-3"/>
              </w:rPr>
              <w:t>针</w:t>
            </w:r>
            <w:r>
              <w:rPr/>
              <w:t>有望</w:t>
            </w:r>
            <w:r>
              <w:rPr>
                <w:spacing w:val="-3"/>
              </w:rPr>
              <w:t>精准</w:t>
            </w:r>
            <w:r>
              <w:rPr/>
              <w:t>诊断肺癌</w:t>
              <w:tab/>
              <w:t>15</w:t>
            </w:r>
          </w:hyperlink>
        </w:p>
        <w:p>
          <w:pPr>
            <w:pStyle w:val="TOC3"/>
            <w:tabs>
              <w:tab w:pos="9075" w:val="right" w:leader="dot"/>
            </w:tabs>
          </w:pPr>
          <w:hyperlink w:history="true" w:anchor="_TOC_250031">
            <w:r>
              <w:rPr/>
              <w:t>骨关节</w:t>
            </w:r>
            <w:r>
              <w:rPr>
                <w:spacing w:val="-3"/>
              </w:rPr>
              <w:t>退</w:t>
            </w:r>
            <w:r>
              <w:rPr/>
              <w:t>行性</w:t>
            </w:r>
            <w:r>
              <w:rPr>
                <w:spacing w:val="-3"/>
              </w:rPr>
              <w:t>改变</w:t>
            </w:r>
            <w:r>
              <w:rPr/>
              <w:t>研究获</w:t>
            </w:r>
            <w:r>
              <w:rPr>
                <w:spacing w:val="-3"/>
              </w:rPr>
              <w:t>突</w:t>
            </w:r>
            <w:r>
              <w:rPr/>
              <w:t>破</w:t>
              <w:tab/>
              <w:t>15</w:t>
            </w:r>
          </w:hyperlink>
        </w:p>
        <w:p>
          <w:pPr>
            <w:pStyle w:val="TOC4"/>
            <w:tabs>
              <w:tab w:pos="9075" w:val="right" w:leader="dot"/>
            </w:tabs>
            <w:rPr>
              <w:b w:val="0"/>
              <w:i w:val="0"/>
              <w:sz w:val="28"/>
            </w:rPr>
          </w:pPr>
          <w:hyperlink w:history="true" w:anchor="_TOC_250030">
            <w:r>
              <w:rPr>
                <w:i w:val="0"/>
                <w:sz w:val="28"/>
              </w:rPr>
              <w:t>【新药看台】</w:t>
              <w:tab/>
            </w:r>
            <w:r>
              <w:rPr>
                <w:b w:val="0"/>
                <w:i w:val="0"/>
                <w:sz w:val="28"/>
              </w:rPr>
              <w:t>15</w:t>
            </w:r>
          </w:hyperlink>
        </w:p>
        <w:p>
          <w:pPr>
            <w:pStyle w:val="TOC3"/>
            <w:tabs>
              <w:tab w:pos="9075" w:val="right" w:leader="dot"/>
            </w:tabs>
            <w:spacing w:before="42"/>
          </w:pPr>
          <w:hyperlink w:history="true" w:anchor="_TOC_250029">
            <w:r>
              <w:rPr/>
              <w:t>研发机</w:t>
            </w:r>
            <w:r>
              <w:rPr>
                <w:spacing w:val="-3"/>
              </w:rPr>
              <w:t>构</w:t>
            </w:r>
            <w:r>
              <w:rPr/>
              <w:t>作为</w:t>
            </w:r>
            <w:r>
              <w:rPr>
                <w:spacing w:val="-3"/>
              </w:rPr>
              <w:t>持有</w:t>
            </w:r>
            <w:r>
              <w:rPr/>
              <w:t>人的首</w:t>
            </w:r>
            <w:r>
              <w:rPr>
                <w:spacing w:val="-3"/>
              </w:rPr>
              <w:t>个</w:t>
            </w:r>
            <w:r>
              <w:rPr/>
              <w:t>中药</w:t>
            </w:r>
            <w:r>
              <w:rPr>
                <w:spacing w:val="-3"/>
              </w:rPr>
              <w:t>新药</w:t>
            </w:r>
            <w:r>
              <w:rPr/>
              <w:t>获批上市</w:t>
              <w:tab/>
              <w:t>15</w:t>
            </w:r>
          </w:hyperlink>
        </w:p>
        <w:p>
          <w:pPr>
            <w:pStyle w:val="TOC3"/>
            <w:tabs>
              <w:tab w:pos="9075" w:val="right" w:leader="dot"/>
            </w:tabs>
          </w:pPr>
          <w:hyperlink w:history="true" w:anchor="_TOC_250028">
            <w:r>
              <w:rPr/>
              <w:t>前列腺</w:t>
            </w:r>
            <w:r>
              <w:rPr>
                <w:spacing w:val="-3"/>
              </w:rPr>
              <w:t>癌</w:t>
            </w:r>
            <w:r>
              <w:rPr/>
              <w:t>药物</w:t>
            </w:r>
            <w:r>
              <w:rPr>
                <w:spacing w:val="-3"/>
              </w:rPr>
              <w:t>泽科</w:t>
            </w:r>
            <w:r>
              <w:rPr/>
              <w:t>新适应</w:t>
            </w:r>
            <w:r>
              <w:rPr>
                <w:spacing w:val="-3"/>
              </w:rPr>
              <w:t>证</w:t>
            </w:r>
            <w:r>
              <w:rPr/>
              <w:t>获批</w:t>
              <w:tab/>
              <w:t>16</w:t>
            </w:r>
          </w:hyperlink>
        </w:p>
        <w:p>
          <w:pPr>
            <w:pStyle w:val="TOC1"/>
          </w:pPr>
          <w:hyperlink w:history="true" w:anchor="_TOC_250027">
            <w:r>
              <w:rPr>
                <w:color w:val="1A5220"/>
              </w:rPr>
              <w:t>合理用药</w:t>
            </w:r>
          </w:hyperlink>
        </w:p>
        <w:p>
          <w:pPr>
            <w:pStyle w:val="TOC4"/>
            <w:tabs>
              <w:tab w:pos="9075" w:val="right" w:leader="dot"/>
            </w:tabs>
            <w:spacing w:before="72"/>
            <w:rPr>
              <w:b w:val="0"/>
              <w:i w:val="0"/>
              <w:sz w:val="28"/>
            </w:rPr>
          </w:pPr>
          <w:hyperlink w:history="true" w:anchor="_TOC_250026">
            <w:r>
              <w:rPr>
                <w:i w:val="0"/>
                <w:sz w:val="28"/>
              </w:rPr>
              <w:t>【临床药师】</w:t>
              <w:tab/>
            </w:r>
            <w:r>
              <w:rPr>
                <w:b w:val="0"/>
                <w:i w:val="0"/>
                <w:sz w:val="28"/>
              </w:rPr>
              <w:t>16</w:t>
            </w:r>
          </w:hyperlink>
        </w:p>
        <w:p>
          <w:pPr>
            <w:pStyle w:val="TOC3"/>
            <w:tabs>
              <w:tab w:pos="9075" w:val="right" w:leader="dot"/>
            </w:tabs>
            <w:spacing w:before="42"/>
          </w:pPr>
          <w:hyperlink w:history="true" w:anchor="_TOC_250025">
            <w:r>
              <w:rPr/>
              <w:t>2018</w:t>
            </w:r>
            <w:r>
              <w:rPr>
                <w:spacing w:val="-1"/>
              </w:rPr>
              <w:t> </w:t>
            </w:r>
            <w:r>
              <w:rPr>
                <w:spacing w:val="-3"/>
              </w:rPr>
              <w:t>年</w:t>
            </w:r>
            <w:r>
              <w:rPr/>
              <w:t>临床</w:t>
            </w:r>
            <w:r>
              <w:rPr>
                <w:spacing w:val="-3"/>
              </w:rPr>
              <w:t>药</w:t>
            </w:r>
            <w:r>
              <w:rPr/>
              <w:t>学</w:t>
            </w:r>
            <w:r>
              <w:rPr>
                <w:spacing w:val="-3"/>
              </w:rPr>
              <w:t>相</w:t>
            </w:r>
            <w:r>
              <w:rPr/>
              <w:t>关十件</w:t>
            </w:r>
            <w:r>
              <w:rPr>
                <w:spacing w:val="-3"/>
              </w:rPr>
              <w:t>大</w:t>
            </w:r>
            <w:r>
              <w:rPr/>
              <w:t>事评</w:t>
            </w:r>
            <w:r>
              <w:rPr>
                <w:spacing w:val="-3"/>
              </w:rPr>
              <w:t>选揭</w:t>
            </w:r>
            <w:r>
              <w:rPr/>
              <w:t>晓</w:t>
              <w:tab/>
              <w:t>16</w:t>
            </w:r>
          </w:hyperlink>
        </w:p>
        <w:p>
          <w:pPr>
            <w:pStyle w:val="TOC3"/>
            <w:tabs>
              <w:tab w:pos="9075" w:val="right" w:leader="dot"/>
            </w:tabs>
          </w:pPr>
          <w:hyperlink w:history="true" w:anchor="_TOC_250024">
            <w:r>
              <w:rPr>
                <w:w w:val="95"/>
              </w:rPr>
              <w:t>注射头孢菌素后发生过敏性休克死亡</w:t>
            </w:r>
            <w:r>
              <w:rPr>
                <w:spacing w:val="-14"/>
                <w:w w:val="95"/>
              </w:rPr>
              <w:t> </w:t>
            </w:r>
            <w:r>
              <w:rPr>
                <w:w w:val="95"/>
              </w:rPr>
              <w:t>头孢菌素注射前到底要不要做皮试？</w:t>
              <w:tab/>
              <w:t>17</w:t>
            </w:r>
          </w:hyperlink>
        </w:p>
        <w:p>
          <w:pPr>
            <w:pStyle w:val="TOC3"/>
            <w:tabs>
              <w:tab w:pos="9075" w:val="right" w:leader="dot"/>
            </w:tabs>
          </w:pPr>
          <w:hyperlink w:history="true" w:anchor="_TOC_250023">
            <w:r>
              <w:rPr/>
              <w:t>非小细</w:t>
            </w:r>
            <w:r>
              <w:rPr>
                <w:spacing w:val="-3"/>
              </w:rPr>
              <w:t>胞</w:t>
            </w:r>
            <w:r>
              <w:rPr/>
              <w:t>肺癌</w:t>
            </w:r>
            <w:r>
              <w:rPr>
                <w:spacing w:val="-3"/>
              </w:rPr>
              <w:t>患者</w:t>
            </w:r>
            <w:r>
              <w:rPr/>
              <w:t>预后影</w:t>
            </w:r>
            <w:r>
              <w:rPr>
                <w:spacing w:val="-3"/>
              </w:rPr>
              <w:t>响</w:t>
            </w:r>
            <w:r>
              <w:rPr/>
              <w:t>因素</w:t>
            </w:r>
            <w:r>
              <w:rPr>
                <w:spacing w:val="-3"/>
              </w:rPr>
              <w:t>分析</w:t>
            </w:r>
            <w:r>
              <w:rPr/>
              <w:t>及预测</w:t>
            </w:r>
            <w:r>
              <w:rPr>
                <w:spacing w:val="-3"/>
              </w:rPr>
              <w:t>列</w:t>
            </w:r>
            <w:r>
              <w:rPr/>
              <w:t>线图</w:t>
            </w:r>
            <w:r>
              <w:rPr>
                <w:spacing w:val="-3"/>
              </w:rPr>
              <w:t>构</w:t>
            </w:r>
            <w:r>
              <w:rPr/>
              <w:t>建</w:t>
              <w:tab/>
              <w:t>19</w:t>
            </w:r>
          </w:hyperlink>
        </w:p>
        <w:p>
          <w:pPr>
            <w:pStyle w:val="TOC4"/>
            <w:tabs>
              <w:tab w:pos="9075" w:val="right" w:leader="dot"/>
            </w:tabs>
            <w:spacing w:before="43"/>
            <w:rPr>
              <w:b w:val="0"/>
              <w:i w:val="0"/>
              <w:sz w:val="28"/>
            </w:rPr>
          </w:pPr>
          <w:hyperlink w:history="true" w:anchor="_TOC_250022">
            <w:r>
              <w:rPr>
                <w:i w:val="0"/>
                <w:sz w:val="28"/>
              </w:rPr>
              <w:t>【医生谈药】</w:t>
              <w:tab/>
            </w:r>
            <w:r>
              <w:rPr>
                <w:b w:val="0"/>
                <w:i w:val="0"/>
                <w:sz w:val="28"/>
              </w:rPr>
              <w:t>24</w:t>
            </w:r>
          </w:hyperlink>
        </w:p>
        <w:p>
          <w:pPr>
            <w:pStyle w:val="TOC3"/>
            <w:tabs>
              <w:tab w:pos="9075" w:val="right" w:leader="dot"/>
            </w:tabs>
          </w:pPr>
          <w:hyperlink w:history="true" w:anchor="_TOC_250021">
            <w:r>
              <w:rPr/>
              <w:t>抗流感</w:t>
            </w:r>
            <w:r>
              <w:rPr>
                <w:spacing w:val="-3"/>
              </w:rPr>
              <w:t>药</w:t>
            </w:r>
            <w:r>
              <w:rPr/>
              <w:t>物使</w:t>
            </w:r>
            <w:r>
              <w:rPr>
                <w:spacing w:val="-3"/>
              </w:rPr>
              <w:t>用须</w:t>
            </w:r>
            <w:r>
              <w:rPr/>
              <w:t>三思而行</w:t>
              <w:tab/>
              <w:t>24</w:t>
            </w:r>
          </w:hyperlink>
        </w:p>
        <w:p>
          <w:pPr>
            <w:pStyle w:val="TOC4"/>
            <w:tabs>
              <w:tab w:pos="9075" w:val="right" w:leader="dot"/>
            </w:tabs>
            <w:rPr>
              <w:b w:val="0"/>
              <w:i w:val="0"/>
              <w:sz w:val="28"/>
            </w:rPr>
          </w:pPr>
          <w:hyperlink w:history="true" w:anchor="_TOC_250020">
            <w:r>
              <w:rPr>
                <w:i w:val="0"/>
                <w:sz w:val="28"/>
              </w:rPr>
              <w:t>【指南解读】</w:t>
              <w:tab/>
            </w:r>
            <w:r>
              <w:rPr>
                <w:b w:val="0"/>
                <w:i w:val="0"/>
                <w:sz w:val="28"/>
              </w:rPr>
              <w:t>25</w:t>
            </w:r>
          </w:hyperlink>
        </w:p>
        <w:p>
          <w:pPr>
            <w:pStyle w:val="TOC3"/>
            <w:tabs>
              <w:tab w:pos="9075" w:val="right" w:leader="dot"/>
            </w:tabs>
            <w:spacing w:before="42" w:after="20"/>
          </w:pPr>
          <w:hyperlink w:history="true" w:anchor="_TOC_250019">
            <w:r>
              <w:rPr/>
              <w:t>心血管</w:t>
            </w:r>
            <w:r>
              <w:rPr>
                <w:spacing w:val="-3"/>
              </w:rPr>
              <w:t>疾</w:t>
            </w:r>
            <w:r>
              <w:rPr/>
              <w:t>病领</w:t>
            </w:r>
            <w:r>
              <w:rPr>
                <w:spacing w:val="-3"/>
              </w:rPr>
              <w:t>域两</w:t>
            </w:r>
            <w:r>
              <w:rPr/>
              <w:t>用药指</w:t>
            </w:r>
            <w:r>
              <w:rPr>
                <w:spacing w:val="-3"/>
              </w:rPr>
              <w:t>南</w:t>
            </w:r>
            <w:r>
              <w:rPr/>
              <w:t>更新</w:t>
              <w:tab/>
              <w:t>25</w:t>
            </w:r>
          </w:hyperlink>
        </w:p>
        <w:p>
          <w:pPr>
            <w:pStyle w:val="TOC7"/>
            <w:tabs>
              <w:tab w:pos="9504" w:val="right" w:leader="dot"/>
            </w:tabs>
            <w:spacing w:before="258"/>
            <w:rPr>
              <w:b w:val="0"/>
              <w:i w:val="0"/>
              <w:sz w:val="28"/>
            </w:rPr>
          </w:pPr>
          <w:hyperlink w:history="true" w:anchor="_TOC_250018">
            <w:r>
              <w:rPr>
                <w:i w:val="0"/>
                <w:sz w:val="28"/>
              </w:rPr>
              <w:t>【药物警戒】</w:t>
              <w:tab/>
            </w:r>
            <w:r>
              <w:rPr>
                <w:b w:val="0"/>
                <w:i w:val="0"/>
                <w:sz w:val="28"/>
              </w:rPr>
              <w:t>26</w:t>
            </w:r>
          </w:hyperlink>
        </w:p>
        <w:p>
          <w:pPr>
            <w:pStyle w:val="TOC6"/>
            <w:tabs>
              <w:tab w:pos="9504" w:val="right" w:leader="dot"/>
            </w:tabs>
          </w:pPr>
          <w:hyperlink w:history="true" w:anchor="_TOC_250017">
            <w:r>
              <w:rPr/>
              <w:t>关于修</w:t>
            </w:r>
            <w:r>
              <w:rPr>
                <w:spacing w:val="-3"/>
              </w:rPr>
              <w:t>订</w:t>
            </w:r>
            <w:r>
              <w:rPr/>
              <w:t>肿节</w:t>
            </w:r>
            <w:r>
              <w:rPr>
                <w:spacing w:val="-3"/>
              </w:rPr>
              <w:t>风注</w:t>
            </w:r>
            <w:r>
              <w:rPr/>
              <w:t>射液和</w:t>
            </w:r>
            <w:r>
              <w:rPr>
                <w:spacing w:val="-3"/>
              </w:rPr>
              <w:t>小</w:t>
            </w:r>
            <w:r>
              <w:rPr/>
              <w:t>金制</w:t>
            </w:r>
            <w:r>
              <w:rPr>
                <w:spacing w:val="-3"/>
              </w:rPr>
              <w:t>剂说</w:t>
            </w:r>
            <w:r>
              <w:rPr/>
              <w:t>明书的</w:t>
            </w:r>
            <w:r>
              <w:rPr>
                <w:spacing w:val="-3"/>
              </w:rPr>
              <w:t>公</w:t>
            </w:r>
            <w:r>
              <w:rPr/>
              <w:t>告</w:t>
              <w:tab/>
              <w:t>26</w:t>
            </w:r>
          </w:hyperlink>
        </w:p>
        <w:p>
          <w:pPr>
            <w:pStyle w:val="TOC6"/>
            <w:tabs>
              <w:tab w:pos="9504" w:val="right" w:leader="dot"/>
            </w:tabs>
          </w:pPr>
          <w:hyperlink w:history="true" w:anchor="_TOC_250016">
            <w:r>
              <w:rPr/>
              <w:t>关于修</w:t>
            </w:r>
            <w:r>
              <w:rPr>
                <w:spacing w:val="-3"/>
              </w:rPr>
              <w:t>订</w:t>
            </w:r>
            <w:r>
              <w:rPr/>
              <w:t>养血</w:t>
            </w:r>
            <w:r>
              <w:rPr>
                <w:spacing w:val="-3"/>
              </w:rPr>
              <w:t>清脑</w:t>
            </w:r>
            <w:r>
              <w:rPr/>
              <w:t>颗粒（</w:t>
            </w:r>
            <w:r>
              <w:rPr>
                <w:spacing w:val="-3"/>
              </w:rPr>
              <w:t>丸</w:t>
            </w:r>
            <w:r>
              <w:rPr/>
              <w:t>）非</w:t>
            </w:r>
            <w:r>
              <w:rPr>
                <w:spacing w:val="-3"/>
              </w:rPr>
              <w:t>处方</w:t>
            </w:r>
            <w:r>
              <w:rPr/>
              <w:t>药说明</w:t>
            </w:r>
            <w:r>
              <w:rPr>
                <w:spacing w:val="-3"/>
              </w:rPr>
              <w:t>书</w:t>
            </w:r>
            <w:r>
              <w:rPr/>
              <w:t>范本</w:t>
            </w:r>
            <w:r>
              <w:rPr>
                <w:spacing w:val="-3"/>
              </w:rPr>
              <w:t>的公</w:t>
            </w:r>
            <w:r>
              <w:rPr/>
              <w:t>告</w:t>
              <w:tab/>
              <w:t>26</w:t>
            </w:r>
          </w:hyperlink>
        </w:p>
        <w:p>
          <w:pPr>
            <w:pStyle w:val="TOC6"/>
            <w:tabs>
              <w:tab w:pos="9504" w:val="right" w:leader="dot"/>
            </w:tabs>
            <w:spacing w:before="42"/>
          </w:pPr>
          <w:hyperlink w:history="true" w:anchor="_TOC_250015">
            <w:r>
              <w:rPr/>
              <w:t>关于修</w:t>
            </w:r>
            <w:r>
              <w:rPr>
                <w:spacing w:val="-3"/>
              </w:rPr>
              <w:t>订</w:t>
            </w:r>
            <w:r>
              <w:rPr/>
              <w:t>静注</w:t>
            </w:r>
            <w:r>
              <w:rPr>
                <w:spacing w:val="-3"/>
              </w:rPr>
              <w:t>人免</w:t>
            </w:r>
            <w:r>
              <w:rPr/>
              <w:t>疫球蛋</w:t>
            </w:r>
            <w:r>
              <w:rPr>
                <w:spacing w:val="-3"/>
              </w:rPr>
              <w:t>白</w:t>
            </w:r>
            <w:r>
              <w:rPr/>
              <w:t>和冻</w:t>
            </w:r>
            <w:r>
              <w:rPr>
                <w:spacing w:val="-3"/>
              </w:rPr>
              <w:t>干静</w:t>
            </w:r>
            <w:r>
              <w:rPr/>
              <w:t>注人免</w:t>
            </w:r>
            <w:r>
              <w:rPr>
                <w:spacing w:val="-3"/>
              </w:rPr>
              <w:t>疫</w:t>
            </w:r>
            <w:r>
              <w:rPr/>
              <w:t>球蛋</w:t>
            </w:r>
            <w:r>
              <w:rPr>
                <w:spacing w:val="-3"/>
              </w:rPr>
              <w:t>白说</w:t>
            </w:r>
            <w:r>
              <w:rPr/>
              <w:t>明书的</w:t>
            </w:r>
            <w:r>
              <w:rPr>
                <w:spacing w:val="-3"/>
              </w:rPr>
              <w:t>公</w:t>
            </w:r>
            <w:r>
              <w:rPr/>
              <w:t>告</w:t>
              <w:tab/>
              <w:t>27</w:t>
            </w:r>
          </w:hyperlink>
        </w:p>
        <w:p>
          <w:pPr>
            <w:pStyle w:val="TOC5"/>
            <w:tabs>
              <w:tab w:pos="9504" w:val="right" w:leader="dot"/>
            </w:tabs>
            <w:rPr>
              <w:b w:val="0"/>
            </w:rPr>
          </w:pPr>
          <w:hyperlink w:history="true" w:anchor="_TOC_250014">
            <w:r>
              <w:rPr/>
              <w:t>【药物经济学】</w:t>
              <w:tab/>
            </w:r>
            <w:r>
              <w:rPr>
                <w:b w:val="0"/>
              </w:rPr>
              <w:t>28</w:t>
            </w:r>
          </w:hyperlink>
        </w:p>
        <w:p>
          <w:pPr>
            <w:pStyle w:val="TOC6"/>
            <w:tabs>
              <w:tab w:pos="9504" w:val="right" w:leader="dot"/>
            </w:tabs>
          </w:pPr>
          <w:hyperlink w:history="true" w:anchor="_TOC_250013">
            <w:r>
              <w:rPr/>
              <w:t>经济学</w:t>
            </w:r>
            <w:r>
              <w:rPr>
                <w:spacing w:val="-3"/>
              </w:rPr>
              <w:t>视</w:t>
            </w:r>
            <w:r>
              <w:rPr/>
              <w:t>角下</w:t>
            </w:r>
            <w:r>
              <w:rPr>
                <w:spacing w:val="-3"/>
              </w:rPr>
              <w:t>我国</w:t>
            </w:r>
            <w:r>
              <w:rPr/>
              <w:t>药品短</w:t>
            </w:r>
            <w:r>
              <w:rPr>
                <w:spacing w:val="-3"/>
              </w:rPr>
              <w:t>缺</w:t>
            </w:r>
            <w:r>
              <w:rPr/>
              <w:t>的原</w:t>
            </w:r>
            <w:r>
              <w:rPr>
                <w:spacing w:val="-3"/>
              </w:rPr>
              <w:t>因分</w:t>
            </w:r>
            <w:r>
              <w:rPr/>
              <w:t>析</w:t>
              <w:tab/>
              <w:t>28</w:t>
            </w:r>
          </w:hyperlink>
        </w:p>
        <w:p>
          <w:pPr>
            <w:pStyle w:val="TOC7"/>
            <w:tabs>
              <w:tab w:pos="9504" w:val="right" w:leader="dot"/>
            </w:tabs>
            <w:rPr>
              <w:b w:val="0"/>
              <w:i w:val="0"/>
              <w:sz w:val="28"/>
            </w:rPr>
          </w:pPr>
          <w:hyperlink w:history="true" w:anchor="_TOC_250012">
            <w:r>
              <w:rPr>
                <w:i w:val="0"/>
                <w:sz w:val="28"/>
              </w:rPr>
              <w:t>【中医中药】</w:t>
              <w:tab/>
            </w:r>
            <w:r>
              <w:rPr>
                <w:b w:val="0"/>
                <w:i w:val="0"/>
                <w:sz w:val="28"/>
              </w:rPr>
              <w:t>33</w:t>
            </w:r>
          </w:hyperlink>
        </w:p>
        <w:p>
          <w:pPr>
            <w:pStyle w:val="TOC6"/>
            <w:tabs>
              <w:tab w:pos="9504" w:val="right" w:leader="dot"/>
            </w:tabs>
          </w:pPr>
          <w:hyperlink w:history="true" w:anchor="_TOC_250011">
            <w:r>
              <w:rPr/>
              <w:t>孩子的</w:t>
            </w:r>
            <w:r>
              <w:rPr>
                <w:spacing w:val="-3"/>
              </w:rPr>
              <w:t>中</w:t>
            </w:r>
            <w:r>
              <w:rPr/>
              <w:t>药汤</w:t>
            </w:r>
            <w:r>
              <w:rPr>
                <w:spacing w:val="-3"/>
              </w:rPr>
              <w:t>剂怎</w:t>
            </w:r>
            <w:r>
              <w:rPr/>
              <w:t>么吃</w:t>
              <w:tab/>
              <w:t>33</w:t>
            </w:r>
          </w:hyperlink>
        </w:p>
        <w:p>
          <w:pPr>
            <w:pStyle w:val="TOC6"/>
            <w:tabs>
              <w:tab w:pos="9504" w:val="right" w:leader="dot"/>
            </w:tabs>
          </w:pPr>
          <w:hyperlink w:history="true" w:anchor="_TOC_250010">
            <w:r>
              <w:rPr/>
              <w:t>选用薏</w:t>
            </w:r>
            <w:r>
              <w:rPr>
                <w:spacing w:val="-3"/>
              </w:rPr>
              <w:t>米</w:t>
            </w:r>
            <w:r>
              <w:rPr/>
              <w:t>有讲究</w:t>
              <w:tab/>
              <w:t>34</w:t>
            </w:r>
          </w:hyperlink>
        </w:p>
        <w:p>
          <w:pPr>
            <w:pStyle w:val="TOC7"/>
            <w:tabs>
              <w:tab w:pos="9504" w:val="right" w:leader="dot"/>
            </w:tabs>
            <w:rPr>
              <w:b w:val="0"/>
              <w:i w:val="0"/>
              <w:sz w:val="28"/>
            </w:rPr>
          </w:pPr>
          <w:hyperlink w:history="true" w:anchor="_TOC_250009">
            <w:r>
              <w:rPr>
                <w:i w:val="0"/>
                <w:sz w:val="28"/>
              </w:rPr>
              <w:t>【科普知识】</w:t>
              <w:tab/>
            </w:r>
            <w:r>
              <w:rPr>
                <w:b w:val="0"/>
                <w:i w:val="0"/>
                <w:sz w:val="28"/>
              </w:rPr>
              <w:t>35</w:t>
            </w:r>
          </w:hyperlink>
        </w:p>
        <w:p>
          <w:pPr>
            <w:pStyle w:val="TOC6"/>
            <w:tabs>
              <w:tab w:pos="9504" w:val="right" w:leader="dot"/>
            </w:tabs>
          </w:pPr>
          <w:hyperlink w:history="true" w:anchor="_TOC_250008">
            <w:r>
              <w:rPr/>
              <w:t>安眠药 </w:t>
            </w:r>
            <w:r>
              <w:rPr>
                <w:spacing w:val="3"/>
              </w:rPr>
              <w:t> </w:t>
            </w:r>
            <w:r>
              <w:rPr/>
              <w:t>“</w:t>
            </w:r>
            <w:r>
              <w:rPr>
                <w:spacing w:val="-3"/>
              </w:rPr>
              <w:t>上</w:t>
            </w:r>
            <w:r>
              <w:rPr/>
              <w:t>瘾”？那是你</w:t>
            </w:r>
            <w:r>
              <w:rPr>
                <w:spacing w:val="-3"/>
              </w:rPr>
              <w:t>不</w:t>
            </w:r>
            <w:r>
              <w:rPr/>
              <w:t>会吃</w:t>
            </w:r>
            <w:r>
              <w:rPr>
                <w:spacing w:val="-3"/>
              </w:rPr>
              <w:t>！搞</w:t>
            </w:r>
            <w:r>
              <w:rPr/>
              <w:t>定失眠</w:t>
            </w:r>
            <w:r>
              <w:rPr>
                <w:spacing w:val="-3"/>
              </w:rPr>
              <w:t>，</w:t>
            </w:r>
            <w:r>
              <w:rPr/>
              <w:t>知道</w:t>
            </w:r>
            <w:r>
              <w:rPr>
                <w:spacing w:val="-3"/>
              </w:rPr>
              <w:t>这几</w:t>
            </w:r>
            <w:r>
              <w:rPr/>
              <w:t>点很重</w:t>
            </w:r>
            <w:r>
              <w:rPr>
                <w:spacing w:val="-3"/>
              </w:rPr>
              <w:t>要</w:t>
            </w:r>
            <w:r>
              <w:rPr/>
              <w:t>！</w:t>
              <w:tab/>
              <w:t>35</w:t>
            </w:r>
          </w:hyperlink>
        </w:p>
        <w:p>
          <w:pPr>
            <w:pStyle w:val="TOC6"/>
            <w:tabs>
              <w:tab w:pos="9504" w:val="right" w:leader="dot"/>
            </w:tabs>
            <w:spacing w:before="39"/>
          </w:pPr>
          <w:hyperlink w:history="true" w:anchor="_TOC_250007">
            <w:r>
              <w:rPr/>
              <w:t>耳鸣是</w:t>
            </w:r>
            <w:r>
              <w:rPr>
                <w:spacing w:val="-3"/>
              </w:rPr>
              <w:t>一</w:t>
            </w:r>
            <w:r>
              <w:rPr/>
              <w:t>种很</w:t>
            </w:r>
            <w:r>
              <w:rPr>
                <w:spacing w:val="-3"/>
              </w:rPr>
              <w:t>玄的</w:t>
            </w:r>
            <w:r>
              <w:rPr/>
              <w:t>疾病，</w:t>
            </w:r>
            <w:r>
              <w:rPr>
                <w:spacing w:val="-3"/>
              </w:rPr>
              <w:t>如</w:t>
            </w:r>
            <w:r>
              <w:rPr/>
              <w:t>影随行</w:t>
              <w:tab/>
              <w:t>37</w:t>
            </w:r>
          </w:hyperlink>
        </w:p>
        <w:p>
          <w:pPr>
            <w:pStyle w:val="TOC6"/>
            <w:tabs>
              <w:tab w:pos="9504" w:val="right" w:leader="dot"/>
            </w:tabs>
            <w:spacing w:before="43"/>
          </w:pPr>
          <w:hyperlink w:history="true" w:anchor="_TOC_250006">
            <w:r>
              <w:rPr/>
              <w:t>怀孕了</w:t>
            </w:r>
            <w:r>
              <w:rPr>
                <w:spacing w:val="69"/>
              </w:rPr>
              <w:t> </w:t>
            </w:r>
            <w:r>
              <w:rPr/>
              <w:t>慎</w:t>
            </w:r>
            <w:r>
              <w:rPr>
                <w:spacing w:val="-3"/>
              </w:rPr>
              <w:t>用</w:t>
            </w:r>
            <w:r>
              <w:rPr/>
              <w:t>解热</w:t>
            </w:r>
            <w:r>
              <w:rPr>
                <w:spacing w:val="-3"/>
              </w:rPr>
              <w:t>止</w:t>
            </w:r>
            <w:r>
              <w:rPr/>
              <w:t>痛药</w:t>
              <w:tab/>
              <w:t>41</w:t>
            </w:r>
          </w:hyperlink>
        </w:p>
        <w:p>
          <w:pPr>
            <w:pStyle w:val="TOC1"/>
          </w:pPr>
          <w:hyperlink w:history="true" w:anchor="_TOC_250005">
            <w:r>
              <w:rPr>
                <w:color w:val="1A5220"/>
              </w:rPr>
              <w:t>交流园地</w:t>
            </w:r>
          </w:hyperlink>
        </w:p>
        <w:p>
          <w:pPr>
            <w:pStyle w:val="TOC7"/>
            <w:tabs>
              <w:tab w:pos="9504" w:val="right" w:leader="dot"/>
            </w:tabs>
            <w:spacing w:before="72"/>
            <w:rPr>
              <w:b w:val="0"/>
              <w:i w:val="0"/>
              <w:sz w:val="28"/>
            </w:rPr>
          </w:pPr>
          <w:hyperlink w:history="true" w:anchor="_TOC_250004">
            <w:r>
              <w:rPr>
                <w:i w:val="0"/>
                <w:sz w:val="28"/>
              </w:rPr>
              <w:t>【药师风采】</w:t>
              <w:tab/>
            </w:r>
            <w:r>
              <w:rPr>
                <w:b w:val="0"/>
                <w:i w:val="0"/>
                <w:sz w:val="28"/>
              </w:rPr>
              <w:t>42</w:t>
            </w:r>
          </w:hyperlink>
        </w:p>
        <w:p>
          <w:pPr>
            <w:pStyle w:val="TOC6"/>
            <w:tabs>
              <w:tab w:pos="9504" w:val="right" w:leader="dot"/>
            </w:tabs>
          </w:pPr>
          <w:hyperlink w:history="true" w:anchor="_TOC_250003">
            <w:r>
              <w:rPr/>
              <w:t>长春市</w:t>
            </w:r>
            <w:r>
              <w:rPr>
                <w:spacing w:val="-3"/>
              </w:rPr>
              <w:t>人</w:t>
            </w:r>
            <w:r>
              <w:rPr/>
              <w:t>民医</w:t>
            </w:r>
            <w:r>
              <w:rPr>
                <w:spacing w:val="-3"/>
              </w:rPr>
              <w:t>院</w:t>
            </w:r>
            <w:r>
              <w:rPr/>
              <w:t>——刘积威</w:t>
              <w:tab/>
              <w:t>42</w:t>
            </w:r>
          </w:hyperlink>
        </w:p>
        <w:p>
          <w:pPr>
            <w:pStyle w:val="TOC6"/>
            <w:tabs>
              <w:tab w:pos="9504" w:val="right" w:leader="dot"/>
            </w:tabs>
            <w:spacing w:before="42"/>
          </w:pPr>
          <w:hyperlink w:history="true" w:anchor="_TOC_250002">
            <w:r>
              <w:rPr/>
              <w:t>延边大</w:t>
            </w:r>
            <w:r>
              <w:rPr>
                <w:spacing w:val="-3"/>
              </w:rPr>
              <w:t>学</w:t>
            </w:r>
            <w:r>
              <w:rPr/>
              <w:t>附属</w:t>
            </w:r>
            <w:r>
              <w:rPr>
                <w:spacing w:val="-3"/>
              </w:rPr>
              <w:t>医院</w:t>
            </w:r>
            <w:r>
              <w:rPr/>
              <w:t>——姜哲</w:t>
              <w:tab/>
              <w:t>43</w:t>
            </w:r>
          </w:hyperlink>
        </w:p>
        <w:p>
          <w:pPr>
            <w:pStyle w:val="TOC6"/>
            <w:tabs>
              <w:tab w:pos="9504" w:val="right" w:leader="dot"/>
            </w:tabs>
          </w:pPr>
          <w:hyperlink w:history="true" w:anchor="_TOC_250001">
            <w:r>
              <w:rPr/>
              <w:t>牡丹江</w:t>
            </w:r>
            <w:r>
              <w:rPr>
                <w:spacing w:val="-3"/>
              </w:rPr>
              <w:t>医</w:t>
            </w:r>
            <w:r>
              <w:rPr/>
              <w:t>学院</w:t>
            </w:r>
            <w:r>
              <w:rPr>
                <w:spacing w:val="-3"/>
              </w:rPr>
              <w:t>附属</w:t>
            </w:r>
            <w:r>
              <w:rPr/>
              <w:t>红旗医院——</w:t>
            </w:r>
            <w:r>
              <w:rPr>
                <w:spacing w:val="-3"/>
              </w:rPr>
              <w:t>丛军兹</w:t>
              <w:tab/>
            </w:r>
            <w:r>
              <w:rPr/>
              <w:t>44</w:t>
            </w:r>
          </w:hyperlink>
        </w:p>
        <w:p>
          <w:pPr>
            <w:pStyle w:val="TOC6"/>
            <w:tabs>
              <w:tab w:pos="9504" w:val="right" w:leader="dot"/>
            </w:tabs>
            <w:spacing w:before="41"/>
          </w:pPr>
          <w:hyperlink w:history="true" w:anchor="_TOC_250000">
            <w:r>
              <w:rPr/>
              <w:t>佳木斯</w:t>
            </w:r>
            <w:r>
              <w:rPr>
                <w:spacing w:val="-3"/>
              </w:rPr>
              <w:t>市</w:t>
            </w:r>
            <w:r>
              <w:rPr/>
              <w:t>中心</w:t>
            </w:r>
            <w:r>
              <w:rPr>
                <w:spacing w:val="-3"/>
              </w:rPr>
              <w:t>医院</w:t>
            </w:r>
            <w:r>
              <w:rPr/>
              <w:t>——张</w:t>
            </w:r>
            <w:r>
              <w:rPr>
                <w:spacing w:val="-3"/>
              </w:rPr>
              <w:t>力</w:t>
            </w:r>
            <w:r>
              <w:rPr/>
              <w:t>华</w:t>
              <w:tab/>
              <w:t>44</w:t>
            </w:r>
          </w:hyperlink>
        </w:p>
      </w:sdtContent>
    </w:sdt>
    <w:p>
      <w:pPr>
        <w:spacing w:after="0"/>
        <w:sectPr>
          <w:headerReference w:type="default" r:id="rId7"/>
          <w:pgSz w:w="11910" w:h="16850"/>
          <w:pgMar w:header="906" w:footer="825" w:top="1115" w:bottom="1603" w:left="1060" w:right="0"/>
        </w:sectPr>
      </w:pPr>
    </w:p>
    <w:p>
      <w:pPr>
        <w:pStyle w:val="Heading2"/>
        <w:spacing w:before="993"/>
      </w:pPr>
      <w:r>
        <w:rPr/>
        <w:t>【政府要闻】</w:t>
      </w:r>
    </w:p>
    <w:p>
      <w:pPr>
        <w:spacing w:before="122"/>
        <w:ind w:left="21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footerReference w:type="default" r:id="rId8"/>
          <w:pgSz w:w="11910" w:h="16850"/>
          <w:pgMar w:footer="531" w:header="906" w:top="1100" w:bottom="720" w:left="1060" w:right="0"/>
          <w:pgNumType w:start="1"/>
          <w:cols w:num="2" w:equalWidth="0">
            <w:col w:w="2187" w:space="1680"/>
            <w:col w:w="6983"/>
          </w:cols>
        </w:sectPr>
      </w:pPr>
    </w:p>
    <w:p>
      <w:pPr>
        <w:spacing w:before="403"/>
        <w:ind w:left="2209" w:right="10" w:firstLine="0"/>
        <w:jc w:val="center"/>
        <w:rPr>
          <w:sz w:val="21"/>
        </w:rPr>
      </w:pPr>
      <w:r>
        <w:rPr>
          <w:sz w:val="21"/>
        </w:rPr>
        <w:t>聚焦群众看病就医</w:t>
      </w:r>
      <w:r>
        <w:rPr>
          <w:rFonts w:ascii="Calibri" w:hAnsi="Calibri" w:eastAsia="Calibri"/>
          <w:sz w:val="21"/>
        </w:rPr>
        <w:t>“</w:t>
      </w:r>
      <w:r>
        <w:rPr>
          <w:sz w:val="21"/>
        </w:rPr>
        <w:t>烦心事</w:t>
      </w:r>
      <w:r>
        <w:rPr>
          <w:rFonts w:ascii="Calibri" w:hAnsi="Calibri" w:eastAsia="Calibri"/>
          <w:sz w:val="21"/>
        </w:rPr>
        <w:t>” </w:t>
      </w:r>
      <w:r>
        <w:rPr>
          <w:sz w:val="21"/>
        </w:rPr>
        <w:t>进一步调动广大医务人员积极性</w:t>
      </w:r>
    </w:p>
    <w:p>
      <w:pPr>
        <w:pStyle w:val="Heading2"/>
        <w:spacing w:before="156"/>
        <w:ind w:left="2201" w:right="10"/>
        <w:jc w:val="center"/>
      </w:pPr>
      <w:r>
        <w:rPr/>
        <w:t>坚持“三医”联动把医改推向纵深</w:t>
      </w:r>
    </w:p>
    <w:p>
      <w:pPr>
        <w:pStyle w:val="BodyText"/>
        <w:ind w:left="0"/>
        <w:rPr>
          <w:b/>
        </w:rPr>
      </w:pPr>
      <w:r>
        <w:rPr/>
        <w:br w:type="column"/>
      </w:r>
      <w:r>
        <w:rPr>
          <w:b/>
        </w:rPr>
      </w:r>
    </w:p>
    <w:p>
      <w:pPr>
        <w:pStyle w:val="BodyText"/>
        <w:ind w:left="0"/>
        <w:rPr>
          <w:b/>
        </w:rPr>
      </w:pPr>
    </w:p>
    <w:p>
      <w:pPr>
        <w:pStyle w:val="BodyText"/>
        <w:ind w:left="0"/>
        <w:rPr>
          <w:b/>
        </w:rPr>
      </w:pPr>
    </w:p>
    <w:p>
      <w:pPr>
        <w:pStyle w:val="BodyText"/>
        <w:ind w:left="0"/>
        <w:rPr>
          <w:b/>
        </w:rPr>
      </w:pPr>
    </w:p>
    <w:p>
      <w:pPr>
        <w:pStyle w:val="Heading3"/>
        <w:spacing w:before="156"/>
        <w:ind w:left="15"/>
      </w:pPr>
      <w:r>
        <w:rPr>
          <w:color w:val="FF0000"/>
        </w:rPr>
        <w:t>（来源：健康报）</w:t>
      </w:r>
    </w:p>
    <w:p>
      <w:pPr>
        <w:spacing w:after="0"/>
        <w:sectPr>
          <w:type w:val="continuous"/>
          <w:pgSz w:w="11910" w:h="16850"/>
          <w:pgMar w:top="1080" w:bottom="1020" w:left="1060" w:right="0"/>
          <w:cols w:num="2" w:equalWidth="0">
            <w:col w:w="7733" w:space="40"/>
            <w:col w:w="3077"/>
          </w:cols>
        </w:sectPr>
      </w:pPr>
    </w:p>
    <w:p>
      <w:pPr>
        <w:pStyle w:val="BodyText"/>
        <w:spacing w:before="96"/>
        <w:ind w:left="697"/>
      </w:pPr>
      <w:r>
        <w:rPr>
          <w:rFonts w:ascii="Times New Roman" w:eastAsia="Times New Roman"/>
        </w:rPr>
        <w:t>1 </w:t>
      </w:r>
      <w:r>
        <w:rPr>
          <w:spacing w:val="-31"/>
        </w:rPr>
        <w:t>月 </w:t>
      </w:r>
      <w:r>
        <w:rPr>
          <w:rFonts w:ascii="Times New Roman" w:eastAsia="Times New Roman"/>
        </w:rPr>
        <w:t>7 </w:t>
      </w:r>
      <w:r>
        <w:rPr>
          <w:spacing w:val="-4"/>
        </w:rPr>
        <w:t>日，</w:t>
      </w:r>
      <w:r>
        <w:rPr>
          <w:rFonts w:ascii="Times New Roman" w:eastAsia="Times New Roman"/>
          <w:spacing w:val="-7"/>
        </w:rPr>
        <w:t>2019</w:t>
      </w:r>
      <w:r>
        <w:rPr>
          <w:rFonts w:ascii="Times New Roman" w:eastAsia="Times New Roman"/>
          <w:spacing w:val="1"/>
        </w:rPr>
        <w:t> </w:t>
      </w:r>
      <w:r>
        <w:rPr>
          <w:spacing w:val="-5"/>
        </w:rPr>
        <w:t>年全国卫生健康工作会议在京召开。国务院总理李克强、副总理孙春兰</w:t>
      </w:r>
    </w:p>
    <w:p>
      <w:pPr>
        <w:pStyle w:val="BodyText"/>
        <w:spacing w:line="297" w:lineRule="auto" w:before="72"/>
        <w:ind w:right="1126"/>
      </w:pPr>
      <w:r>
        <w:rPr>
          <w:spacing w:val="-10"/>
        </w:rPr>
        <w:t>作出重要批示，充分肯定全国卫生健康系统 </w:t>
      </w:r>
      <w:r>
        <w:rPr>
          <w:rFonts w:ascii="Times New Roman" w:eastAsia="Times New Roman"/>
        </w:rPr>
        <w:t>2018 </w:t>
      </w:r>
      <w:r>
        <w:rPr>
          <w:spacing w:val="-13"/>
        </w:rPr>
        <w:t>年的工作成绩，强调 </w:t>
      </w:r>
      <w:r>
        <w:rPr>
          <w:rFonts w:ascii="Times New Roman" w:eastAsia="Times New Roman"/>
        </w:rPr>
        <w:t>2019 </w:t>
      </w:r>
      <w:r>
        <w:rPr>
          <w:spacing w:val="-3"/>
        </w:rPr>
        <w:t>年卫生健康改革</w:t>
      </w:r>
      <w:r>
        <w:rPr>
          <w:spacing w:val="-8"/>
        </w:rPr>
        <w:t>发展重点任务，要求认真贯彻落实党中央、国务院决策部署，深入实施健康中国战略，坚持</w:t>
      </w:r>
    </w:p>
    <w:p>
      <w:pPr>
        <w:pStyle w:val="BodyText"/>
        <w:spacing w:line="295" w:lineRule="auto"/>
        <w:ind w:right="1128"/>
      </w:pPr>
      <w:r>
        <w:rPr>
          <w:spacing w:val="-7"/>
        </w:rPr>
        <w:t>“三医”联动把医改推向纵深，聚焦群众看病就医“烦心事”，进一步调动广大医务人员积</w:t>
      </w:r>
      <w:r>
        <w:rPr/>
        <w:t>极性，为维护人民群众身体健康、全面建成小康社会作出新贡献。</w:t>
      </w:r>
    </w:p>
    <w:p>
      <w:pPr>
        <w:pStyle w:val="BodyText"/>
        <w:spacing w:line="295" w:lineRule="auto" w:before="2"/>
        <w:ind w:right="1126" w:firstLine="480"/>
      </w:pPr>
      <w:r>
        <w:rPr>
          <w:spacing w:val="-7"/>
        </w:rPr>
        <w:t>会议认真传达学习领会李克强总理、孙春兰副总理重要批示精神。国家卫生健康委党组</w:t>
      </w:r>
      <w:r>
        <w:rPr/>
        <w:t>书记、主任马晓伟出席会议并讲话。他指出，</w:t>
      </w:r>
      <w:r>
        <w:rPr>
          <w:rFonts w:ascii="Times New Roman" w:hAnsi="Times New Roman" w:eastAsia="Times New Roman"/>
        </w:rPr>
        <w:t>2018 </w:t>
      </w:r>
      <w:r>
        <w:rPr/>
        <w:t>年全国卫生健康系统坚定不移将全面从</w:t>
      </w:r>
      <w:r>
        <w:rPr>
          <w:spacing w:val="-6"/>
        </w:rPr>
        <w:t>严治党贯穿到卫生健康事业改革发展全过程，坚决贯彻中央决策部署，深入实施“一纲要两</w:t>
      </w:r>
      <w:r>
        <w:rPr>
          <w:spacing w:val="-10"/>
        </w:rPr>
        <w:t>规划”，深化医药卫生体制改革扎实推进，公共卫生和医疗服务能力持续增强，中医药传承</w:t>
      </w:r>
      <w:r>
        <w:rPr>
          <w:spacing w:val="-9"/>
        </w:rPr>
        <w:t>创新迈出坚实步伐，健康扶贫工程成效显著，人口发展、妇幼卫生与健康老龄化工作稳步推</w:t>
      </w:r>
      <w:r>
        <w:rPr/>
        <w:t>进，卫生应急等工作有力有效，各项工作取得可喜成绩。</w:t>
      </w:r>
    </w:p>
    <w:p>
      <w:pPr>
        <w:pStyle w:val="BodyText"/>
        <w:spacing w:line="297" w:lineRule="auto" w:before="11"/>
        <w:ind w:right="1014" w:firstLine="480"/>
      </w:pPr>
      <w:r>
        <w:rPr>
          <w:spacing w:val="-1"/>
        </w:rPr>
        <w:t>会议强调，</w:t>
      </w:r>
      <w:r>
        <w:rPr>
          <w:rFonts w:ascii="Times New Roman" w:hAnsi="Times New Roman" w:eastAsia="Times New Roman"/>
          <w:spacing w:val="-3"/>
        </w:rPr>
        <w:t>2019 </w:t>
      </w:r>
      <w:r>
        <w:rPr>
          <w:spacing w:val="-5"/>
        </w:rPr>
        <w:t>年是中华人民共和国成立 </w:t>
      </w:r>
      <w:r>
        <w:rPr>
          <w:rFonts w:ascii="Times New Roman" w:hAnsi="Times New Roman" w:eastAsia="Times New Roman"/>
        </w:rPr>
        <w:t>70 </w:t>
      </w:r>
      <w:r>
        <w:rPr>
          <w:spacing w:val="-5"/>
        </w:rPr>
        <w:t>周年，是全面建成小康社会关键之年。全</w:t>
      </w:r>
      <w:r>
        <w:rPr>
          <w:spacing w:val="-9"/>
        </w:rPr>
        <w:t>国卫生健康系统要以习近平新时代中国特色社会主义思想为指导，全面深入贯彻党的十九大</w:t>
      </w:r>
      <w:r>
        <w:rPr>
          <w:spacing w:val="-14"/>
        </w:rPr>
        <w:t>和十九届二中、三中全会精神，坚决践行“两个维护”，坚持稳中求进工作总基调，全面加</w:t>
      </w:r>
      <w:r>
        <w:rPr>
          <w:spacing w:val="-13"/>
        </w:rPr>
        <w:t>强党的领导，创造性落实新时代党的卫生健康工作方针，深入实施健康中国战略，聚力抓重</w:t>
      </w:r>
      <w:r>
        <w:rPr>
          <w:spacing w:val="-11"/>
        </w:rPr>
        <w:t>点、补短板、强弱项，不断增强群众健康获得感，为全面建成小康社会收官打下决定性健康</w:t>
      </w:r>
      <w:r>
        <w:rPr>
          <w:spacing w:val="-12"/>
        </w:rPr>
        <w:t>基础。全力推进健康中国建设，针对重要健康危险因素、重点人群和重大疾病，实施一系列</w:t>
      </w:r>
      <w:r>
        <w:rPr>
          <w:spacing w:val="-13"/>
        </w:rPr>
        <w:t>健康行动。整合医疗卫生资源破解“看病难”问题，着力推进医联体建设，提升县级医院服</w:t>
      </w:r>
      <w:r>
        <w:rPr>
          <w:spacing w:val="-12"/>
        </w:rPr>
        <w:t>务能力，大力发展远程医疗，做实做细家庭医生签约服务。强化“三医”联动改革破解“看</w:t>
      </w:r>
      <w:r>
        <w:rPr>
          <w:spacing w:val="-13"/>
        </w:rPr>
        <w:t>病贵”问题，健全国家基本药物制度，进一步完善药品集中采购和使用等政策，提高公立医院管理水平，统筹推进医疗价格调整和公立医院绩效考核，配合开展医保支付方式改革，推</w:t>
      </w:r>
      <w:r>
        <w:rPr>
          <w:spacing w:val="-14"/>
        </w:rPr>
        <w:t>进异地就医直接结算。构建更加成熟定型的分级诊疗制度，着力推进区域分开、城乡分开、</w:t>
      </w:r>
      <w:r>
        <w:rPr>
          <w:spacing w:val="-9"/>
        </w:rPr>
        <w:t>上下分开、急慢分开，引导优质医疗资源下沉。举全系统之力实施健康扶贫工程，进一步完</w:t>
      </w:r>
      <w:r>
        <w:rPr>
          <w:spacing w:val="-14"/>
        </w:rPr>
        <w:t>善基层医疗卫生服务能力建设长效机制，健全贫困群众医疗兜底保障制度，加强贫困地区健</w:t>
      </w:r>
      <w:r>
        <w:rPr>
          <w:spacing w:val="-15"/>
        </w:rPr>
        <w:t>康危险因素防控。扎实做好重大疾病防控和公共卫生工作，坚持预防为主，关口前移，统筹做好免疫规划，加强传染病、地方病、慢性病和职业病防治。促进人口均衡发展与健康老龄</w:t>
      </w:r>
      <w:r>
        <w:rPr>
          <w:spacing w:val="-12"/>
        </w:rPr>
        <w:t>化，加强人口监测和形势分析，严格执行母婴安全 </w:t>
      </w:r>
      <w:r>
        <w:rPr>
          <w:rFonts w:ascii="Times New Roman" w:hAnsi="Times New Roman" w:eastAsia="Times New Roman"/>
        </w:rPr>
        <w:t>5 </w:t>
      </w:r>
      <w:r>
        <w:rPr>
          <w:spacing w:val="-7"/>
        </w:rPr>
        <w:t>项制度，构建养老护理体系，深入推进</w:t>
      </w:r>
      <w:r>
        <w:rPr>
          <w:spacing w:val="-8"/>
        </w:rPr>
        <w:t>医养结合。推动中医药振兴发展，深入开展中医药服务，强化中医药科技创新和人才培养。</w:t>
      </w:r>
      <w:r>
        <w:rPr>
          <w:spacing w:val="-6"/>
        </w:rPr>
        <w:t>加强卫生健康人才队伍建设，完善住院医师规范化培训相关政策，完善职称评定措施。推动</w:t>
      </w:r>
      <w:r>
        <w:rPr>
          <w:spacing w:val="-11"/>
        </w:rPr>
        <w:t>卫生健康治理体系和治理能力现代化，加强卫生健康法治建设，进一步完善鼓励社会办医发</w:t>
      </w:r>
    </w:p>
    <w:p>
      <w:pPr>
        <w:spacing w:after="0" w:line="297" w:lineRule="auto"/>
        <w:sectPr>
          <w:type w:val="continuous"/>
          <w:pgSz w:w="11910" w:h="16850"/>
          <w:pgMar w:top="1080" w:bottom="1020" w:left="1060" w:right="0"/>
        </w:sectPr>
      </w:pPr>
    </w:p>
    <w:p>
      <w:pPr>
        <w:pStyle w:val="BodyText"/>
        <w:spacing w:line="295" w:lineRule="auto" w:before="65"/>
        <w:ind w:right="1131"/>
      </w:pPr>
      <w:r>
        <w:rPr>
          <w:spacing w:val="-10"/>
        </w:rPr>
        <w:t>展的政策体系。加强政策解读，做好典型宣传，实施综合监管制度，加强科技创新，深度参</w:t>
      </w:r>
      <w:r>
        <w:rPr/>
        <w:t>与全球卫生治理。</w:t>
      </w:r>
    </w:p>
    <w:p>
      <w:pPr>
        <w:pStyle w:val="BodyText"/>
        <w:spacing w:line="297" w:lineRule="auto" w:before="2"/>
        <w:ind w:right="1126" w:firstLine="480"/>
        <w:jc w:val="both"/>
      </w:pPr>
      <w:r>
        <w:rPr>
          <w:spacing w:val="-10"/>
        </w:rPr>
        <w:t>会议要求，全国卫生健康系统要全面加强党的建设，强化公立医院党的领导，严厉惩治</w:t>
      </w:r>
      <w:r>
        <w:rPr>
          <w:spacing w:val="-8"/>
        </w:rPr>
        <w:t>发生在群众身边的腐败问题，树立行业清风正气。要锤炼实事求是、一抓到底、担当为民的</w:t>
      </w:r>
      <w:r>
        <w:rPr>
          <w:spacing w:val="-9"/>
        </w:rPr>
        <w:t>工作作风，持之以恒反对“四风”，特别是官僚主义和形式主义，着力把层层检查、层层汇</w:t>
      </w:r>
      <w:r>
        <w:rPr>
          <w:spacing w:val="-11"/>
        </w:rPr>
        <w:t>报、层层留痕等形式主义减下来，给基层留出更多做工作的时间和空间。广大卫生健康工作</w:t>
      </w:r>
      <w:r>
        <w:rPr>
          <w:spacing w:val="-19"/>
        </w:rPr>
        <w:t>者要发扬“敬佑生命，救死扶伤，甘于奉献，大爱无疆”的崇高精神，求真务实，恪尽职守， </w:t>
      </w:r>
      <w:r>
        <w:rPr>
          <w:spacing w:val="-6"/>
        </w:rPr>
        <w:t>全力开创卫生健康事业改革发展新局面，推动人民健康水平再上新台阶，以优异成绩庆祝中</w:t>
      </w:r>
      <w:r>
        <w:rPr>
          <w:spacing w:val="-7"/>
        </w:rPr>
        <w:t>华人民共和国成立 </w:t>
      </w:r>
      <w:r>
        <w:rPr>
          <w:rFonts w:ascii="Times New Roman" w:hAnsi="Times New Roman" w:eastAsia="Times New Roman"/>
        </w:rPr>
        <w:t>70 </w:t>
      </w:r>
      <w:r>
        <w:rPr/>
        <w:t>周年。</w:t>
      </w:r>
    </w:p>
    <w:p>
      <w:pPr>
        <w:pStyle w:val="BodyText"/>
        <w:spacing w:line="295" w:lineRule="auto"/>
        <w:ind w:right="1014" w:firstLine="480"/>
      </w:pPr>
      <w:r>
        <w:rPr>
          <w:spacing w:val="-1"/>
        </w:rPr>
        <w:t>国家卫生健康委副主任崔丽主持会议并作总结。委领导出席会议。中央有关部门代表， </w:t>
      </w:r>
      <w:r>
        <w:rPr>
          <w:spacing w:val="-11"/>
        </w:rPr>
        <w:t>各省、自治区、直辖市、计划单列市卫生健康委，新疆生产建设兵团卫生计生委主要负责同志；国家卫生健康委直属机关主要负责同志参加了会议。</w:t>
      </w:r>
    </w:p>
    <w:p>
      <w:pPr>
        <w:spacing w:before="91"/>
        <w:ind w:left="0" w:right="909" w:firstLine="0"/>
        <w:jc w:val="center"/>
        <w:rPr>
          <w:sz w:val="21"/>
        </w:rPr>
      </w:pPr>
      <w:r>
        <w:rPr>
          <w:sz w:val="21"/>
        </w:rPr>
        <w:t>韩正在医疗保障工作座谈会上强调</w:t>
      </w:r>
    </w:p>
    <w:p>
      <w:pPr>
        <w:pStyle w:val="Heading2"/>
        <w:spacing w:before="156"/>
        <w:ind w:left="0" w:right="917"/>
        <w:jc w:val="center"/>
      </w:pPr>
      <w:r>
        <w:rPr/>
        <w:t>确保医保基金安全 促进制度公平可持续</w:t>
      </w:r>
    </w:p>
    <w:p>
      <w:pPr>
        <w:pStyle w:val="Heading3"/>
        <w:spacing w:before="145"/>
        <w:ind w:left="217" w:right="1128"/>
        <w:jc w:val="right"/>
      </w:pPr>
      <w:r>
        <w:rPr>
          <w:color w:val="FF0000"/>
          <w:w w:val="95"/>
        </w:rPr>
        <w:t>（来源：新华社）</w:t>
      </w:r>
    </w:p>
    <w:p>
      <w:pPr>
        <w:pStyle w:val="BodyText"/>
        <w:spacing w:line="295" w:lineRule="auto" w:before="98"/>
        <w:ind w:right="1127" w:firstLine="480"/>
      </w:pPr>
      <w:r>
        <w:rPr>
          <w:spacing w:val="-11"/>
        </w:rPr>
        <w:t>新华社北京 </w:t>
      </w:r>
      <w:r>
        <w:rPr>
          <w:rFonts w:ascii="Times New Roman" w:eastAsia="Times New Roman"/>
        </w:rPr>
        <w:t>1 </w:t>
      </w:r>
      <w:r>
        <w:rPr>
          <w:spacing w:val="-30"/>
        </w:rPr>
        <w:t>月 </w:t>
      </w:r>
      <w:r>
        <w:rPr>
          <w:rFonts w:ascii="Times New Roman" w:eastAsia="Times New Roman"/>
        </w:rPr>
        <w:t>10 </w:t>
      </w:r>
      <w:r>
        <w:rPr/>
        <w:t>日电 </w:t>
      </w:r>
      <w:r>
        <w:rPr>
          <w:rFonts w:ascii="Times New Roman" w:eastAsia="Times New Roman"/>
        </w:rPr>
        <w:t>10 </w:t>
      </w:r>
      <w:r>
        <w:rPr/>
        <w:t>日上午，中共中央政治局常委、国务院副总理韩正出席医</w:t>
      </w:r>
      <w:r>
        <w:rPr>
          <w:spacing w:val="-6"/>
        </w:rPr>
        <w:t>疗保障工作座谈会并讲话，认真学习贯彻习近平总书记重要指示精神，落实党中央、国务院</w:t>
      </w:r>
      <w:r>
        <w:rPr/>
        <w:t>决策部署，研究部署下一步医保工作。</w:t>
      </w:r>
    </w:p>
    <w:p>
      <w:pPr>
        <w:pStyle w:val="BodyText"/>
        <w:spacing w:line="297" w:lineRule="auto" w:before="6"/>
        <w:ind w:right="1127" w:firstLine="480"/>
        <w:jc w:val="both"/>
      </w:pPr>
      <w:r>
        <w:rPr>
          <w:spacing w:val="-11"/>
        </w:rPr>
        <w:t>韩正表示，组建国家医保局是以习近平同志为核心的党中央作出的重大决策。各级医保</w:t>
      </w:r>
      <w:r>
        <w:rPr>
          <w:spacing w:val="-8"/>
        </w:rPr>
        <w:t>部门要增强责任感和使命感，抓住机构改革契机，完善统一的城乡居民基本医疗保险制度和大病保险制度，加强医保基金监管，做好统一经办管理和服务工作，确保医保基金安全，促进制度公平可持续，不断提高人民群众医疗保障水平。</w:t>
      </w:r>
    </w:p>
    <w:p>
      <w:pPr>
        <w:pStyle w:val="BodyText"/>
        <w:spacing w:line="297" w:lineRule="auto"/>
        <w:ind w:right="1007" w:firstLine="480"/>
      </w:pPr>
      <w:r>
        <w:rPr>
          <w:spacing w:val="-9"/>
        </w:rPr>
        <w:t>韩正强调，医保基金是人民群众的“救命钱”，要严厉打击欺诈骗保行为，尽快构建起</w:t>
      </w:r>
      <w:r>
        <w:rPr>
          <w:spacing w:val="-15"/>
        </w:rPr>
        <w:t>医保基金监管的长效机制。要坚持保基本，抓紧建立医保待遇清单制度，完善居民医保筹资</w:t>
      </w:r>
      <w:r>
        <w:rPr>
          <w:spacing w:val="-12"/>
        </w:rPr>
        <w:t>机制，夯实医保基金长期稳定健康运行的基础。要做好国家组织药品集中采购和使用试点工</w:t>
      </w:r>
      <w:r>
        <w:rPr>
          <w:spacing w:val="-11"/>
        </w:rPr>
        <w:t>作，切实减轻群众药费负担。调整完善医保药品目录，突出保障重点，把更多救命救急的好</w:t>
      </w:r>
      <w:r>
        <w:rPr>
          <w:spacing w:val="-19"/>
        </w:rPr>
        <w:t>药纳入医保。要深化医保支付方式改革，发挥好对医疗服务和医药市场健康发展的牵引作用。</w:t>
      </w:r>
      <w:r>
        <w:rPr>
          <w:spacing w:val="-8"/>
        </w:rPr>
        <w:t>高标准建设全国统一、高效、兼容、便捷的信息系统，强化信息化对医保运行、管理、服务的支撑功能。要认真落实全面从严治党要求，抓好党风廉政建设，树立起新系统的新形象。</w:t>
      </w:r>
    </w:p>
    <w:p>
      <w:pPr>
        <w:pStyle w:val="BodyText"/>
        <w:spacing w:line="297" w:lineRule="auto"/>
        <w:ind w:right="1129" w:firstLine="480"/>
      </w:pPr>
      <w:r>
        <w:rPr>
          <w:spacing w:val="-10"/>
        </w:rPr>
        <w:t>座谈会上，国家医保局负责人作了汇报，公安部、卫生健康委和天津、上海、福建、重</w:t>
      </w:r>
      <w:r>
        <w:rPr/>
        <w:t>庆、辽宁、云南六省（市）医保局负责人作了发言。</w:t>
      </w:r>
    </w:p>
    <w:p>
      <w:pPr>
        <w:pStyle w:val="BodyText"/>
        <w:spacing w:before="6"/>
        <w:ind w:left="0"/>
        <w:rPr>
          <w:sz w:val="12"/>
        </w:rPr>
      </w:pPr>
    </w:p>
    <w:p>
      <w:pPr>
        <w:spacing w:after="0"/>
        <w:rPr>
          <w:sz w:val="12"/>
        </w:rPr>
        <w:sectPr>
          <w:pgSz w:w="11910" w:h="16850"/>
          <w:pgMar w:header="906" w:footer="531" w:top="1100" w:bottom="800" w:left="1060" w:right="0"/>
        </w:sectPr>
      </w:pPr>
    </w:p>
    <w:p>
      <w:pPr>
        <w:pStyle w:val="Heading2"/>
        <w:spacing w:before="55"/>
        <w:ind w:left="2956"/>
      </w:pPr>
      <w:r>
        <w:rPr>
          <w:spacing w:val="-10"/>
        </w:rPr>
        <w:t>卫生健康工作聚焦 </w:t>
      </w:r>
      <w:r>
        <w:rPr/>
        <w:t>10</w:t>
      </w:r>
      <w:r>
        <w:rPr>
          <w:spacing w:val="-25"/>
        </w:rPr>
        <w:t> 项重点</w:t>
      </w:r>
    </w:p>
    <w:p>
      <w:pPr>
        <w:pStyle w:val="BodyText"/>
        <w:ind w:left="0"/>
        <w:rPr>
          <w:b/>
        </w:rPr>
      </w:pPr>
      <w:r>
        <w:rPr/>
        <w:br w:type="column"/>
      </w:r>
      <w:r>
        <w:rPr>
          <w:b/>
        </w:rPr>
      </w:r>
    </w:p>
    <w:p>
      <w:pPr>
        <w:pStyle w:val="BodyText"/>
        <w:spacing w:before="8"/>
        <w:ind w:left="0"/>
        <w:rPr>
          <w:b/>
          <w:sz w:val="23"/>
        </w:rPr>
      </w:pPr>
    </w:p>
    <w:p>
      <w:pPr>
        <w:pStyle w:val="Heading3"/>
        <w:ind w:left="771"/>
      </w:pPr>
      <w:r>
        <w:rPr>
          <w:color w:val="FF0000"/>
        </w:rPr>
        <w:t>（来源：健康报）</w:t>
      </w:r>
    </w:p>
    <w:p>
      <w:pPr>
        <w:spacing w:after="0"/>
        <w:sectPr>
          <w:type w:val="continuous"/>
          <w:pgSz w:w="11910" w:h="16850"/>
          <w:pgMar w:top="1080" w:bottom="1020" w:left="1060" w:right="0"/>
          <w:cols w:num="2" w:equalWidth="0">
            <w:col w:w="6977" w:space="40"/>
            <w:col w:w="3833"/>
          </w:cols>
        </w:sectPr>
      </w:pPr>
    </w:p>
    <w:p>
      <w:pPr>
        <w:pStyle w:val="BodyText"/>
        <w:spacing w:line="295" w:lineRule="auto" w:before="99"/>
        <w:ind w:right="1129" w:firstLine="480"/>
      </w:pPr>
      <w:r>
        <w:rPr>
          <w:rFonts w:ascii="Times New Roman" w:eastAsia="Times New Roman"/>
        </w:rPr>
        <w:t>1 </w:t>
      </w:r>
      <w:r>
        <w:rPr>
          <w:spacing w:val="-31"/>
        </w:rPr>
        <w:t>月 </w:t>
      </w:r>
      <w:r>
        <w:rPr>
          <w:rFonts w:ascii="Times New Roman" w:eastAsia="Times New Roman"/>
        </w:rPr>
        <w:t>10 </w:t>
      </w:r>
      <w:r>
        <w:rPr>
          <w:spacing w:val="-5"/>
        </w:rPr>
        <w:t>日，国家卫生健康委举行 </w:t>
      </w:r>
      <w:r>
        <w:rPr>
          <w:rFonts w:ascii="Times New Roman" w:eastAsia="Times New Roman"/>
        </w:rPr>
        <w:t>2019 </w:t>
      </w:r>
      <w:r>
        <w:rPr>
          <w:spacing w:val="-4"/>
        </w:rPr>
        <w:t>年第一场例行新闻发布会，通报 </w:t>
      </w:r>
      <w:r>
        <w:rPr>
          <w:rFonts w:ascii="Times New Roman" w:eastAsia="Times New Roman"/>
        </w:rPr>
        <w:t>2018 </w:t>
      </w:r>
      <w:r>
        <w:rPr/>
        <w:t>年卫生健</w:t>
      </w:r>
      <w:r>
        <w:rPr>
          <w:spacing w:val="-7"/>
        </w:rPr>
        <w:t>康工作主要进展和 </w:t>
      </w:r>
      <w:r>
        <w:rPr>
          <w:rFonts w:ascii="Times New Roman" w:eastAsia="Times New Roman"/>
        </w:rPr>
        <w:t>2019 </w:t>
      </w:r>
      <w:r>
        <w:rPr>
          <w:spacing w:val="-3"/>
        </w:rPr>
        <w:t>年重点工作安排。</w:t>
      </w:r>
      <w:r>
        <w:rPr>
          <w:rFonts w:ascii="Times New Roman" w:eastAsia="Times New Roman"/>
        </w:rPr>
        <w:t>2019 </w:t>
      </w:r>
      <w:r>
        <w:rPr>
          <w:spacing w:val="-6"/>
        </w:rPr>
        <w:t>年，国家卫生健康委将创造性落实新时代党</w:t>
      </w:r>
    </w:p>
    <w:p>
      <w:pPr>
        <w:spacing w:after="0" w:line="295" w:lineRule="auto"/>
        <w:sectPr>
          <w:type w:val="continuous"/>
          <w:pgSz w:w="11910" w:h="16850"/>
          <w:pgMar w:top="1080" w:bottom="1020" w:left="1060" w:right="0"/>
        </w:sectPr>
      </w:pPr>
    </w:p>
    <w:p>
      <w:pPr>
        <w:pStyle w:val="BodyText"/>
        <w:spacing w:line="295" w:lineRule="auto" w:before="65"/>
        <w:ind w:right="1079"/>
      </w:pPr>
      <w:r>
        <w:rPr/>
        <w:t>的卫生健康工作方针，深入实施健康中国战略，聚力抓重点、补短板、强弱项，聚焦 </w:t>
      </w:r>
      <w:r>
        <w:rPr>
          <w:rFonts w:ascii="Times New Roman" w:eastAsia="Times New Roman"/>
        </w:rPr>
        <w:t>10 </w:t>
      </w:r>
      <w:r>
        <w:rPr/>
        <w:t>项卫生健康重点工作，不断增强群众健康获得感。</w:t>
      </w:r>
    </w:p>
    <w:p>
      <w:pPr>
        <w:pStyle w:val="BodyText"/>
        <w:spacing w:line="297" w:lineRule="auto" w:before="2"/>
        <w:ind w:right="1129" w:firstLine="480"/>
        <w:jc w:val="both"/>
      </w:pPr>
      <w:r>
        <w:rPr>
          <w:spacing w:val="-8"/>
        </w:rPr>
        <w:t>一是推进健康中国建设。聚焦重要健康影响因素、重点人群和重点疾病，实施一批健康</w:t>
      </w:r>
      <w:r>
        <w:rPr>
          <w:spacing w:val="-10"/>
        </w:rPr>
        <w:t>行动。以建设健康城市、健康乡村以及健康社区、健康企业、健康学校等“健康细胞”为基</w:t>
      </w:r>
      <w:r>
        <w:rPr>
          <w:spacing w:val="-11"/>
        </w:rPr>
        <w:t>础，以卫生城镇创建、城乡环境卫生整洁行动、农村“厕所革命”等为载体，为实施健康中</w:t>
      </w:r>
      <w:r>
        <w:rPr/>
        <w:t>国战略提供有力保障。</w:t>
      </w:r>
    </w:p>
    <w:p>
      <w:pPr>
        <w:pStyle w:val="BodyText"/>
        <w:spacing w:line="295" w:lineRule="auto"/>
        <w:ind w:right="1130" w:firstLine="480"/>
        <w:jc w:val="both"/>
      </w:pPr>
      <w:r>
        <w:rPr>
          <w:spacing w:val="-8"/>
        </w:rPr>
        <w:t>二是整合医疗卫生资源。推进医联体建设，加强县医院建设，发展远程医疗，做实家庭</w:t>
      </w:r>
      <w:r>
        <w:rPr/>
        <w:t>医生签约服务。</w:t>
      </w:r>
    </w:p>
    <w:p>
      <w:pPr>
        <w:pStyle w:val="BodyText"/>
        <w:spacing w:line="297" w:lineRule="auto"/>
        <w:ind w:right="1014" w:firstLine="480"/>
      </w:pPr>
      <w:r>
        <w:rPr/>
        <w:t>三是“三医联动”改革。完善药品政策，完善国家基本药物制度，加强公立医院管理， 配合开展医保支付方式改革。</w:t>
      </w:r>
    </w:p>
    <w:p>
      <w:pPr>
        <w:pStyle w:val="BodyText"/>
        <w:spacing w:line="295" w:lineRule="auto"/>
        <w:ind w:right="1126" w:firstLine="480"/>
        <w:jc w:val="both"/>
      </w:pPr>
      <w:r>
        <w:rPr>
          <w:spacing w:val="-6"/>
        </w:rPr>
        <w:t>四是构建更加成熟定型的分级诊疗制度。建立分级诊疗体系，从医疗服务体系、资源布</w:t>
      </w:r>
      <w:r>
        <w:rPr/>
        <w:t>局和功能调整完善入手，有效盘活存量，引导优质资源下沉，引导患者有序就医。</w:t>
      </w:r>
    </w:p>
    <w:p>
      <w:pPr>
        <w:pStyle w:val="BodyText"/>
        <w:spacing w:line="295" w:lineRule="auto" w:before="1"/>
        <w:ind w:right="1127" w:firstLine="480"/>
        <w:jc w:val="both"/>
      </w:pPr>
      <w:r>
        <w:rPr>
          <w:spacing w:val="-8"/>
        </w:rPr>
        <w:t>五是实施健康扶贫工程。完善基层医疗卫生服务能力建设长效机制，健全贫困群众医疗</w:t>
      </w:r>
      <w:r>
        <w:rPr/>
        <w:t>兜底保障制度，建立贫困地区健康危险因素防控长效机制。</w:t>
      </w:r>
    </w:p>
    <w:p>
      <w:pPr>
        <w:pStyle w:val="BodyText"/>
        <w:spacing w:line="297" w:lineRule="auto" w:before="2"/>
        <w:ind w:right="1130" w:firstLine="480"/>
        <w:jc w:val="both"/>
      </w:pPr>
      <w:r>
        <w:rPr>
          <w:spacing w:val="-6"/>
        </w:rPr>
        <w:t>六是做好重大疾病防控和公共卫生工作。在传染病防治、免疫规划、地方病防治、慢性</w:t>
      </w:r>
      <w:r>
        <w:rPr/>
        <w:t>病防治、职业病防治等方面持续发力，警惕和防控突发疫情。</w:t>
      </w:r>
    </w:p>
    <w:p>
      <w:pPr>
        <w:pStyle w:val="BodyText"/>
        <w:spacing w:line="297" w:lineRule="auto"/>
        <w:ind w:right="1127" w:firstLine="480"/>
        <w:jc w:val="right"/>
      </w:pPr>
      <w:r>
        <w:rPr>
          <w:spacing w:val="-6"/>
        </w:rPr>
        <w:t>七是促进人口均衡发展与健康老龄化。深入推进生育政策相关研究，加强人口监测和形</w:t>
      </w:r>
      <w:r>
        <w:rPr>
          <w:spacing w:val="-23"/>
        </w:rPr>
        <w:t>势分析；促进婴幼儿照护服务事业发展；编制规划，积极探索建设整合型老年健康服务体系。</w:t>
      </w:r>
      <w:r>
        <w:rPr>
          <w:spacing w:val="-19"/>
        </w:rPr>
        <w:t>八是推动中医药振兴发展。推进重点实验室建设和现代化关键技术装备研究，加强中医</w:t>
      </w:r>
    </w:p>
    <w:p>
      <w:pPr>
        <w:pStyle w:val="BodyText"/>
        <w:spacing w:line="304" w:lineRule="exact"/>
      </w:pPr>
      <w:r>
        <w:rPr/>
        <w:t>药知识产权保护，推动中医药走向世界。</w:t>
      </w:r>
    </w:p>
    <w:p>
      <w:pPr>
        <w:pStyle w:val="BodyText"/>
        <w:spacing w:line="297" w:lineRule="auto" w:before="70"/>
        <w:ind w:right="1007" w:firstLine="480"/>
      </w:pPr>
      <w:r>
        <w:rPr>
          <w:spacing w:val="-13"/>
        </w:rPr>
        <w:t>九是加强卫生健康人才队伍建设。遵循医疗卫生行业人才成长规律，建设一支政治坚定、</w:t>
      </w:r>
      <w:r>
        <w:rPr/>
        <w:t>技术优良、品德高尚的队伍。</w:t>
      </w:r>
    </w:p>
    <w:p>
      <w:pPr>
        <w:pStyle w:val="BodyText"/>
        <w:spacing w:line="297" w:lineRule="auto"/>
        <w:ind w:right="1127" w:firstLine="480"/>
        <w:jc w:val="both"/>
      </w:pPr>
      <w:r>
        <w:rPr>
          <w:spacing w:val="-6"/>
        </w:rPr>
        <w:t>十是推动卫生健康治理体系和治理能力现代化。加强卫生健康法治建设，推进综合监管</w:t>
      </w:r>
      <w:r>
        <w:rPr>
          <w:spacing w:val="-9"/>
        </w:rPr>
        <w:t>制度实施，加大监管整治力度；加强科技创新，深度参与全球卫生治理，服务国家外交大局和改革开放全局。</w:t>
      </w:r>
    </w:p>
    <w:p>
      <w:pPr>
        <w:pStyle w:val="BodyText"/>
        <w:spacing w:before="6"/>
        <w:ind w:left="0"/>
        <w:rPr>
          <w:sz w:val="13"/>
        </w:rPr>
      </w:pPr>
    </w:p>
    <w:p>
      <w:pPr>
        <w:spacing w:after="0"/>
        <w:rPr>
          <w:sz w:val="13"/>
        </w:rPr>
        <w:sectPr>
          <w:pgSz w:w="11910" w:h="16850"/>
          <w:pgMar w:header="906" w:footer="531" w:top="1100" w:bottom="800" w:left="1060" w:right="0"/>
        </w:sectPr>
      </w:pPr>
    </w:p>
    <w:p>
      <w:pPr>
        <w:pStyle w:val="Heading2"/>
        <w:spacing w:before="55"/>
        <w:ind w:left="3359"/>
      </w:pPr>
      <w:r>
        <w:rPr>
          <w:spacing w:val="-2"/>
        </w:rPr>
        <w:t>医政医管工作要点发布</w:t>
      </w:r>
    </w:p>
    <w:p>
      <w:pPr>
        <w:pStyle w:val="BodyText"/>
        <w:ind w:left="0"/>
        <w:rPr>
          <w:b/>
        </w:rPr>
      </w:pPr>
      <w:r>
        <w:rPr/>
        <w:br w:type="column"/>
      </w:r>
      <w:r>
        <w:rPr>
          <w:b/>
        </w:rPr>
      </w:r>
    </w:p>
    <w:p>
      <w:pPr>
        <w:pStyle w:val="BodyText"/>
        <w:spacing w:before="7"/>
        <w:ind w:left="0"/>
        <w:rPr>
          <w:b/>
          <w:sz w:val="23"/>
        </w:rPr>
      </w:pPr>
    </w:p>
    <w:p>
      <w:pPr>
        <w:pStyle w:val="Heading3"/>
        <w:spacing w:before="1"/>
        <w:ind w:left="1178"/>
      </w:pPr>
      <w:r>
        <w:rPr>
          <w:color w:val="FF0000"/>
        </w:rPr>
        <w:t>（来源：健康报）</w:t>
      </w:r>
    </w:p>
    <w:p>
      <w:pPr>
        <w:spacing w:after="0"/>
        <w:sectPr>
          <w:type w:val="continuous"/>
          <w:pgSz w:w="11910" w:h="16850"/>
          <w:pgMar w:top="1080" w:bottom="1020" w:left="1060" w:right="0"/>
          <w:cols w:num="2" w:equalWidth="0">
            <w:col w:w="6570" w:space="40"/>
            <w:col w:w="4240"/>
          </w:cols>
        </w:sectPr>
      </w:pPr>
    </w:p>
    <w:p>
      <w:pPr>
        <w:pStyle w:val="BodyText"/>
        <w:spacing w:line="295" w:lineRule="auto" w:before="98"/>
        <w:ind w:right="1007" w:firstLine="480"/>
      </w:pPr>
      <w:r>
        <w:rPr>
          <w:rFonts w:ascii="Times New Roman" w:eastAsia="Times New Roman"/>
        </w:rPr>
        <w:t>1 </w:t>
      </w:r>
      <w:r>
        <w:rPr>
          <w:spacing w:val="-31"/>
        </w:rPr>
        <w:t>月 </w:t>
      </w:r>
      <w:r>
        <w:rPr>
          <w:rFonts w:ascii="Times New Roman" w:eastAsia="Times New Roman"/>
        </w:rPr>
        <w:t>10 </w:t>
      </w:r>
      <w:r>
        <w:rPr/>
        <w:t>日，全国医疗管理工作会在京召开。会议明确，</w:t>
      </w:r>
      <w:r>
        <w:rPr>
          <w:rFonts w:ascii="Times New Roman" w:eastAsia="Times New Roman"/>
        </w:rPr>
        <w:t>2019 </w:t>
      </w:r>
      <w:r>
        <w:rPr/>
        <w:t>年医政医管工作将围绕实</w:t>
      </w:r>
      <w:r>
        <w:rPr>
          <w:spacing w:val="-16"/>
        </w:rPr>
        <w:t>施健康中国战略、健康扶贫和深化医改重点任务开展，包括构建优质高效医疗卫生服务体系， </w:t>
      </w:r>
      <w:r>
        <w:rPr/>
        <w:t>实施精准健康扶贫，加强医疗管理，改善医疗服务，开展行风建设。</w:t>
      </w:r>
    </w:p>
    <w:p>
      <w:pPr>
        <w:pStyle w:val="BodyText"/>
        <w:spacing w:line="295" w:lineRule="auto" w:before="5"/>
        <w:ind w:right="1126" w:firstLine="480"/>
      </w:pPr>
      <w:r>
        <w:rPr>
          <w:spacing w:val="-14"/>
        </w:rPr>
        <w:t>会议指出，深化推进分级诊疗和医联体建设，确定 </w:t>
      </w:r>
      <w:r>
        <w:rPr>
          <w:rFonts w:ascii="Times New Roman" w:eastAsia="Times New Roman"/>
        </w:rPr>
        <w:t>100 </w:t>
      </w:r>
      <w:r>
        <w:rPr>
          <w:spacing w:val="-7"/>
        </w:rPr>
        <w:t>个城市医疗集团和 </w:t>
      </w:r>
      <w:r>
        <w:rPr>
          <w:rFonts w:ascii="Times New Roman" w:eastAsia="Times New Roman"/>
        </w:rPr>
        <w:t>500 </w:t>
      </w:r>
      <w:r>
        <w:rPr>
          <w:spacing w:val="-4"/>
        </w:rPr>
        <w:t>个县域医</w:t>
      </w:r>
      <w:r>
        <w:rPr>
          <w:spacing w:val="-9"/>
        </w:rPr>
        <w:t>共体建设试点，加强医联体综合绩效考核。推进国家医学中心和区域医疗中心建设，再推动</w:t>
      </w:r>
    </w:p>
    <w:p>
      <w:pPr>
        <w:pStyle w:val="BodyText"/>
        <w:spacing w:line="297" w:lineRule="auto" w:before="2"/>
        <w:ind w:right="1127"/>
        <w:jc w:val="right"/>
      </w:pPr>
      <w:r>
        <w:rPr>
          <w:rFonts w:ascii="Times New Roman" w:hAnsi="Times New Roman" w:eastAsia="Times New Roman"/>
        </w:rPr>
        <w:t>500 </w:t>
      </w:r>
      <w:r>
        <w:rPr>
          <w:spacing w:val="-5"/>
        </w:rPr>
        <w:t>家县级医院达标，开展诊所改革试点，全面启动三级公立医院绩效考核，启动实施电子</w:t>
      </w:r>
      <w:r>
        <w:rPr>
          <w:spacing w:val="-9"/>
        </w:rPr>
        <w:t>证照改革试点。加强医疗机构基础护理，推动专科护士队伍建设；发展社区和居家护理，积</w:t>
      </w:r>
      <w:r>
        <w:rPr>
          <w:spacing w:val="-1"/>
        </w:rPr>
        <w:t>极推进老年长期护理服务；开展“互联网</w:t>
      </w:r>
      <w:r>
        <w:rPr>
          <w:rFonts w:ascii="Times New Roman" w:hAnsi="Times New Roman" w:eastAsia="Times New Roman"/>
        </w:rPr>
        <w:t>+</w:t>
      </w:r>
      <w:r>
        <w:rPr>
          <w:spacing w:val="-1"/>
        </w:rPr>
        <w:t>护理服务”试点工作，研究推进安宁疗护发展。</w:t>
      </w:r>
      <w:r>
        <w:rPr>
          <w:spacing w:val="-10"/>
        </w:rPr>
        <w:t>会议明确，深入实施进一步改善医疗服务行动计划，推广一批多学科诊疗和日间手术试</w:t>
      </w:r>
    </w:p>
    <w:p>
      <w:pPr>
        <w:pStyle w:val="BodyText"/>
        <w:spacing w:line="304" w:lineRule="exact"/>
        <w:ind w:left="0" w:right="1130"/>
        <w:jc w:val="right"/>
      </w:pPr>
      <w:r>
        <w:rPr>
          <w:spacing w:val="-11"/>
        </w:rPr>
        <w:t>点医院。推广胸痛、卒中、创伤、危重孕产妇和危重新生儿救治中心建设，形成区域协同的</w:t>
      </w:r>
    </w:p>
    <w:p>
      <w:pPr>
        <w:spacing w:after="0" w:line="304" w:lineRule="exact"/>
        <w:jc w:val="right"/>
        <w:sectPr>
          <w:type w:val="continuous"/>
          <w:pgSz w:w="11910" w:h="16850"/>
          <w:pgMar w:top="1080" w:bottom="1020" w:left="1060" w:right="0"/>
        </w:sectPr>
      </w:pPr>
    </w:p>
    <w:p>
      <w:pPr>
        <w:pStyle w:val="BodyText"/>
        <w:spacing w:line="295" w:lineRule="auto" w:before="65"/>
        <w:ind w:right="1128"/>
        <w:jc w:val="both"/>
      </w:pPr>
      <w:r>
        <w:rPr/>
        <w:t>急诊急救服务网络。充分利用“互联网</w:t>
      </w:r>
      <w:r>
        <w:rPr>
          <w:rFonts w:ascii="Times New Roman" w:hAnsi="Times New Roman" w:eastAsia="Times New Roman"/>
        </w:rPr>
        <w:t>+</w:t>
      </w:r>
      <w:r>
        <w:rPr>
          <w:spacing w:val="-1"/>
        </w:rPr>
        <w:t>医疗健康”优化服务流程，实现区域内信息共享。</w:t>
      </w:r>
      <w:r>
        <w:rPr>
          <w:spacing w:val="-7"/>
        </w:rPr>
        <w:t>修订完善护士执业注册管理政策，研究起草药师法和医疗机构药事管理部门规章。加强质控组织体系和标准体系建设，修订医院评审暂行办法，完善评审标准体系，加强三级医院评审</w:t>
      </w:r>
      <w:r>
        <w:rPr>
          <w:spacing w:val="-8"/>
        </w:rPr>
        <w:t>结果备案和信息公开。探索血站“一类保障、二类管理”运行机制，修订《献血法》，组织编写血液安全报告。加强公共卫生医疗管理工作，完善医疗纠纷多元化解机制，建立医疗损</w:t>
      </w:r>
      <w:r>
        <w:rPr/>
        <w:t>害制度体系。</w:t>
      </w:r>
    </w:p>
    <w:p>
      <w:pPr>
        <w:pStyle w:val="BodyText"/>
        <w:spacing w:line="297" w:lineRule="auto" w:before="11"/>
        <w:ind w:right="1127" w:firstLine="480"/>
        <w:jc w:val="both"/>
      </w:pPr>
      <w:r>
        <w:rPr>
          <w:spacing w:val="-2"/>
        </w:rPr>
        <w:t>会议要求，推进农村贫困人口大病专项救治工作，使救治病种达到 </w:t>
      </w:r>
      <w:r>
        <w:rPr>
          <w:rFonts w:ascii="Times New Roman" w:eastAsia="Times New Roman"/>
        </w:rPr>
        <w:t>25 </w:t>
      </w:r>
      <w:r>
        <w:rPr/>
        <w:t>个。深入开展对</w:t>
      </w:r>
      <w:r>
        <w:rPr>
          <w:spacing w:val="-10"/>
        </w:rPr>
        <w:t>口支援，持续开展医疗人才组团式援疆援藏。鼓励开展医德医风先进典型表彰活动，完善医</w:t>
      </w:r>
      <w:r>
        <w:rPr>
          <w:spacing w:val="-8"/>
        </w:rPr>
        <w:t>德医风社会评价和同行评议标准。抓公立医院党建，推进医疗机构纪检监察和行风组织体系</w:t>
      </w:r>
      <w:r>
        <w:rPr>
          <w:spacing w:val="-10"/>
        </w:rPr>
        <w:t>建设。开展医疗乱象专项整治行动，探索建立区域性行风案件直报体系，实施医药代表备案</w:t>
      </w:r>
      <w:r>
        <w:rPr/>
        <w:t>管理。</w:t>
      </w:r>
    </w:p>
    <w:p>
      <w:pPr>
        <w:pStyle w:val="BodyText"/>
        <w:spacing w:before="6"/>
        <w:ind w:left="0"/>
        <w:rPr>
          <w:sz w:val="17"/>
        </w:rPr>
      </w:pPr>
    </w:p>
    <w:p>
      <w:pPr>
        <w:pStyle w:val="Heading2"/>
        <w:ind w:left="2836"/>
      </w:pPr>
      <w:r>
        <w:rPr/>
        <w:t>2018 年度国家科学技术奖颁发</w:t>
      </w:r>
    </w:p>
    <w:p>
      <w:pPr>
        <w:spacing w:before="178"/>
        <w:ind w:left="814" w:right="0" w:firstLine="0"/>
        <w:jc w:val="left"/>
        <w:rPr>
          <w:sz w:val="21"/>
        </w:rPr>
      </w:pPr>
      <w:r>
        <w:rPr>
          <w:sz w:val="21"/>
        </w:rPr>
        <w:t>医卫领域 </w:t>
      </w:r>
      <w:r>
        <w:rPr>
          <w:rFonts w:ascii="Calibri" w:eastAsia="Calibri"/>
          <w:sz w:val="21"/>
        </w:rPr>
        <w:t>36 </w:t>
      </w:r>
      <w:r>
        <w:rPr>
          <w:sz w:val="21"/>
        </w:rPr>
        <w:t>个项目获奖，脑起搏器关键技术、系统与临床应用获得国家科技进步奖一等奖</w:t>
      </w:r>
    </w:p>
    <w:p>
      <w:pPr>
        <w:pStyle w:val="BodyText"/>
        <w:spacing w:before="8"/>
        <w:ind w:left="0"/>
        <w:rPr>
          <w:sz w:val="15"/>
        </w:rPr>
      </w:pPr>
    </w:p>
    <w:p>
      <w:pPr>
        <w:pStyle w:val="Heading3"/>
        <w:ind w:left="7787"/>
      </w:pPr>
      <w:r>
        <w:rPr>
          <w:color w:val="FF0000"/>
        </w:rPr>
        <w:t>（来源：健康报）</w:t>
      </w:r>
    </w:p>
    <w:p>
      <w:pPr>
        <w:pStyle w:val="BodyText"/>
        <w:spacing w:line="297" w:lineRule="auto" w:before="95"/>
        <w:ind w:right="1145" w:firstLine="480"/>
        <w:jc w:val="both"/>
      </w:pPr>
      <w:r>
        <w:rPr>
          <w:rFonts w:ascii="Times New Roman" w:eastAsia="Times New Roman"/>
        </w:rPr>
        <w:t>1 </w:t>
      </w:r>
      <w:r>
        <w:rPr>
          <w:spacing w:val="-31"/>
        </w:rPr>
        <w:t>月 </w:t>
      </w:r>
      <w:r>
        <w:rPr>
          <w:rFonts w:ascii="Times New Roman" w:eastAsia="Times New Roman"/>
        </w:rPr>
        <w:t>8 </w:t>
      </w:r>
      <w:r>
        <w:rPr/>
        <w:t>日，</w:t>
      </w:r>
      <w:r>
        <w:rPr>
          <w:rFonts w:ascii="Times New Roman" w:eastAsia="Times New Roman"/>
        </w:rPr>
        <w:t>2018 </w:t>
      </w:r>
      <w:r>
        <w:rPr>
          <w:spacing w:val="-3"/>
        </w:rPr>
        <w:t>年度国家科学技术奖励大会在京举行，医药卫生领域有 </w:t>
      </w:r>
      <w:r>
        <w:rPr>
          <w:rFonts w:ascii="Times New Roman" w:eastAsia="Times New Roman"/>
        </w:rPr>
        <w:t>36 </w:t>
      </w:r>
      <w:r>
        <w:rPr>
          <w:spacing w:val="-4"/>
        </w:rPr>
        <w:t>个相关项目</w:t>
      </w:r>
      <w:r>
        <w:rPr/>
        <w:t>获奖。</w:t>
      </w:r>
    </w:p>
    <w:p>
      <w:pPr>
        <w:pStyle w:val="BodyText"/>
        <w:spacing w:line="297" w:lineRule="auto"/>
        <w:ind w:right="1127" w:firstLine="480"/>
        <w:jc w:val="both"/>
      </w:pPr>
      <w:r>
        <w:rPr>
          <w:rFonts w:ascii="Times New Roman" w:eastAsia="Times New Roman"/>
        </w:rPr>
        <w:t>2018</w:t>
      </w:r>
      <w:r>
        <w:rPr>
          <w:rFonts w:ascii="Times New Roman" w:eastAsia="Times New Roman"/>
          <w:spacing w:val="-1"/>
        </w:rPr>
        <w:t> </w:t>
      </w:r>
      <w:r>
        <w:rPr>
          <w:spacing w:val="-5"/>
        </w:rPr>
        <w:t>年度国家科学技术奖共评选出 </w:t>
      </w:r>
      <w:r>
        <w:rPr>
          <w:rFonts w:ascii="Times New Roman" w:eastAsia="Times New Roman"/>
        </w:rPr>
        <w:t>285 </w:t>
      </w:r>
      <w:r>
        <w:rPr>
          <w:spacing w:val="-9"/>
        </w:rPr>
        <w:t>个项目</w:t>
      </w:r>
      <w:r>
        <w:rPr/>
        <w:t>（人选</w:t>
      </w:r>
      <w:r>
        <w:rPr>
          <w:spacing w:val="-27"/>
        </w:rPr>
        <w:t>）</w:t>
      </w:r>
      <w:r>
        <w:rPr>
          <w:spacing w:val="-12"/>
        </w:rPr>
        <w:t>。其中，国家最高科学技术奖 </w:t>
      </w:r>
      <w:r>
        <w:rPr>
          <w:rFonts w:ascii="Times New Roman" w:eastAsia="Times New Roman"/>
          <w:spacing w:val="-12"/>
        </w:rPr>
        <w:t>2 </w:t>
      </w:r>
      <w:r>
        <w:rPr>
          <w:spacing w:val="-11"/>
        </w:rPr>
        <w:t>人，分别是哈尔滨工业大学中国科学院和中国工程院院士刘永坦、中国人民解放军陆军工程</w:t>
      </w:r>
      <w:r>
        <w:rPr>
          <w:spacing w:val="-6"/>
        </w:rPr>
        <w:t>大学中国工程院院士钱七虎；国家自然科学奖 </w:t>
      </w:r>
      <w:r>
        <w:rPr>
          <w:rFonts w:ascii="Times New Roman" w:eastAsia="Times New Roman"/>
        </w:rPr>
        <w:t>38 </w:t>
      </w:r>
      <w:r>
        <w:rPr>
          <w:spacing w:val="-16"/>
        </w:rPr>
        <w:t>项：一等奖 </w:t>
      </w:r>
      <w:r>
        <w:rPr>
          <w:rFonts w:ascii="Times New Roman" w:eastAsia="Times New Roman"/>
        </w:rPr>
        <w:t>1 </w:t>
      </w:r>
      <w:r>
        <w:rPr>
          <w:spacing w:val="-16"/>
        </w:rPr>
        <w:t>项，二等奖 </w:t>
      </w:r>
      <w:r>
        <w:rPr>
          <w:rFonts w:ascii="Times New Roman" w:eastAsia="Times New Roman"/>
        </w:rPr>
        <w:t>37 </w:t>
      </w:r>
      <w:r>
        <w:rPr>
          <w:spacing w:val="-8"/>
        </w:rPr>
        <w:t>项；国家技术</w:t>
      </w:r>
    </w:p>
    <w:p>
      <w:pPr>
        <w:pStyle w:val="BodyText"/>
        <w:spacing w:line="304" w:lineRule="exact"/>
      </w:pPr>
      <w:r>
        <w:rPr>
          <w:spacing w:val="-16"/>
        </w:rPr>
        <w:t>发明奖 </w:t>
      </w:r>
      <w:r>
        <w:rPr>
          <w:rFonts w:ascii="Times New Roman" w:eastAsia="Times New Roman"/>
        </w:rPr>
        <w:t>67 </w:t>
      </w:r>
      <w:r>
        <w:rPr>
          <w:spacing w:val="-15"/>
        </w:rPr>
        <w:t>项：一等奖 </w:t>
      </w:r>
      <w:r>
        <w:rPr>
          <w:rFonts w:ascii="Times New Roman" w:eastAsia="Times New Roman"/>
        </w:rPr>
        <w:t>4 </w:t>
      </w:r>
      <w:r>
        <w:rPr>
          <w:spacing w:val="-14"/>
        </w:rPr>
        <w:t>项，二等奖 </w:t>
      </w:r>
      <w:r>
        <w:rPr>
          <w:rFonts w:ascii="Times New Roman" w:eastAsia="Times New Roman"/>
        </w:rPr>
        <w:t>63 </w:t>
      </w:r>
      <w:r>
        <w:rPr>
          <w:spacing w:val="-10"/>
        </w:rPr>
        <w:t>项；国家科学技术进步奖 </w:t>
      </w:r>
      <w:r>
        <w:rPr>
          <w:rFonts w:ascii="Times New Roman" w:eastAsia="Times New Roman"/>
        </w:rPr>
        <w:t>173 </w:t>
      </w:r>
      <w:r>
        <w:rPr>
          <w:spacing w:val="-15"/>
        </w:rPr>
        <w:t>项：特等奖 </w:t>
      </w:r>
      <w:r>
        <w:rPr>
          <w:rFonts w:ascii="Times New Roman" w:eastAsia="Times New Roman"/>
        </w:rPr>
        <w:t>2</w:t>
      </w:r>
      <w:r>
        <w:rPr>
          <w:rFonts w:ascii="Times New Roman" w:eastAsia="Times New Roman"/>
          <w:spacing w:val="1"/>
        </w:rPr>
        <w:t> </w:t>
      </w:r>
      <w:r>
        <w:rPr>
          <w:spacing w:val="-6"/>
        </w:rPr>
        <w:t>项，一等</w:t>
      </w:r>
    </w:p>
    <w:p>
      <w:pPr>
        <w:pStyle w:val="BodyText"/>
        <w:spacing w:before="71"/>
      </w:pPr>
      <w:r>
        <w:rPr/>
        <w:t>奖 </w:t>
      </w:r>
      <w:r>
        <w:rPr>
          <w:rFonts w:ascii="Times New Roman" w:eastAsia="Times New Roman"/>
        </w:rPr>
        <w:t>23 </w:t>
      </w:r>
      <w:r>
        <w:rPr/>
        <w:t>项，二等奖 </w:t>
      </w:r>
      <w:r>
        <w:rPr>
          <w:rFonts w:ascii="Times New Roman" w:eastAsia="Times New Roman"/>
        </w:rPr>
        <w:t>148 </w:t>
      </w:r>
      <w:r>
        <w:rPr/>
        <w:t>项；中华人民共和国国际科学技术合作奖共 </w:t>
      </w:r>
      <w:r>
        <w:rPr>
          <w:rFonts w:ascii="Times New Roman" w:eastAsia="Times New Roman"/>
        </w:rPr>
        <w:t>5 </w:t>
      </w:r>
      <w:r>
        <w:rPr/>
        <w:t>人。</w:t>
      </w:r>
    </w:p>
    <w:p>
      <w:pPr>
        <w:pStyle w:val="BodyText"/>
        <w:spacing w:line="297" w:lineRule="auto" w:before="74"/>
        <w:ind w:right="1126" w:firstLine="480"/>
        <w:jc w:val="both"/>
      </w:pPr>
      <w:r>
        <w:rPr>
          <w:spacing w:val="-10"/>
        </w:rPr>
        <w:t>医药卫生领域，由清华大学、首都医科大学附属北京天坛医院、中国医学科学院北京协</w:t>
      </w:r>
      <w:r>
        <w:rPr>
          <w:spacing w:val="-9"/>
        </w:rPr>
        <w:t>和医院、中国人民解放军总医院等共同完成的脑起搏器关键技术、系统与临床应用，获得国</w:t>
      </w:r>
      <w:r>
        <w:rPr>
          <w:spacing w:val="-8"/>
        </w:rPr>
        <w:t>家科技进步奖一等奖。血栓性疾病的早期诊断和靶向治疗，胃肠癌预警、预防和发生中的新</w:t>
      </w:r>
      <w:r>
        <w:rPr>
          <w:spacing w:val="-3"/>
        </w:rPr>
        <w:t>发现及其临床应用，图说灾难逃生自救丛书等 </w:t>
      </w:r>
      <w:r>
        <w:rPr>
          <w:rFonts w:ascii="Times New Roman" w:eastAsia="Times New Roman"/>
        </w:rPr>
        <w:t>23 </w:t>
      </w:r>
      <w:r>
        <w:rPr/>
        <w:t>项成果获得国家科技进步奖二等奖。中国</w:t>
      </w:r>
      <w:r>
        <w:rPr>
          <w:spacing w:val="-7"/>
        </w:rPr>
        <w:t>人群肺癌遗传易感新机制，心血管重构分子机制、检测技术和干预策略的基础研究，功能成像脑连接机理研究等 </w:t>
      </w:r>
      <w:r>
        <w:rPr>
          <w:rFonts w:ascii="Times New Roman" w:eastAsia="Times New Roman"/>
        </w:rPr>
        <w:t>7 </w:t>
      </w:r>
      <w:r>
        <w:rPr>
          <w:spacing w:val="-8"/>
        </w:rPr>
        <w:t>项研究获得国家自然科学奖二等奖。遗传性耳聋基因诊断芯片系统的</w:t>
      </w:r>
    </w:p>
    <w:p>
      <w:pPr>
        <w:pStyle w:val="BodyText"/>
        <w:spacing w:line="300" w:lineRule="exact"/>
      </w:pPr>
      <w:r>
        <w:rPr/>
        <w:t>研制及其应用等 </w:t>
      </w:r>
      <w:r>
        <w:rPr>
          <w:rFonts w:ascii="Times New Roman" w:eastAsia="Times New Roman"/>
        </w:rPr>
        <w:t>5 </w:t>
      </w:r>
      <w:r>
        <w:rPr/>
        <w:t>项成果获得国家技术发明奖二等奖。</w:t>
      </w:r>
    </w:p>
    <w:p>
      <w:pPr>
        <w:pStyle w:val="BodyText"/>
        <w:spacing w:line="297" w:lineRule="auto" w:before="72"/>
        <w:ind w:right="1127" w:firstLine="480"/>
        <w:jc w:val="both"/>
      </w:pPr>
      <w:r>
        <w:rPr>
          <w:spacing w:val="-22"/>
        </w:rPr>
        <w:t>据了解，今年获奖项目呈现五大特点：基础研究成果不断涌现，产业技术创新不断突破， </w:t>
      </w:r>
      <w:r>
        <w:rPr>
          <w:spacing w:val="-23"/>
        </w:rPr>
        <w:t>面向改善民生和生态环境建设的成果竞相涌现，企业技术创新主体地位和作用显著加强，长</w:t>
      </w:r>
      <w:r>
        <w:rPr>
          <w:spacing w:val="-2"/>
        </w:rPr>
        <w:t>期积累和团队合作作用凸显。在卫生健康领域，新一代脑起搏器在 </w:t>
      </w:r>
      <w:r>
        <w:rPr>
          <w:rFonts w:ascii="Times New Roman" w:eastAsia="Times New Roman"/>
        </w:rPr>
        <w:t>29 </w:t>
      </w:r>
      <w:r>
        <w:rPr/>
        <w:t>个省（区、市）推广使用，成为帕金森病首选的非药物治疗方案。全球首款遗传性耳聋基因诊断芯片成功检测</w:t>
      </w:r>
    </w:p>
    <w:p>
      <w:pPr>
        <w:pStyle w:val="BodyText"/>
        <w:spacing w:line="297" w:lineRule="auto"/>
        <w:ind w:right="1129"/>
        <w:jc w:val="both"/>
      </w:pPr>
      <w:r>
        <w:rPr>
          <w:rFonts w:ascii="Times New Roman" w:eastAsia="Times New Roman"/>
        </w:rPr>
        <w:t>294 </w:t>
      </w:r>
      <w:r>
        <w:rPr>
          <w:spacing w:val="-19"/>
        </w:rPr>
        <w:t>万余份，通过提前干预降低了耳聋出生缺陷。对血栓性疾病、胃肠癌的预防和早期诊断， </w:t>
      </w:r>
      <w:r>
        <w:rPr>
          <w:spacing w:val="-11"/>
        </w:rPr>
        <w:t>对肺癌、重症先心病、肝移植的外科治疗均取得关键技术突破并应用推广，大量患者从中受</w:t>
      </w:r>
      <w:r>
        <w:rPr/>
        <w:t>益。</w:t>
      </w:r>
    </w:p>
    <w:p>
      <w:pPr>
        <w:pStyle w:val="BodyText"/>
        <w:spacing w:line="304" w:lineRule="exact"/>
        <w:ind w:left="697"/>
      </w:pPr>
      <w:r>
        <w:rPr>
          <w:spacing w:val="-12"/>
        </w:rPr>
        <w:t>据介绍，今年，国家最高科学技术奖奖金额度由 </w:t>
      </w:r>
      <w:r>
        <w:rPr>
          <w:rFonts w:ascii="Times New Roman" w:eastAsia="Times New Roman"/>
        </w:rPr>
        <w:t>500 </w:t>
      </w:r>
      <w:r>
        <w:rPr>
          <w:spacing w:val="-8"/>
        </w:rPr>
        <w:t>万元／人调整为 </w:t>
      </w:r>
      <w:r>
        <w:rPr>
          <w:rFonts w:ascii="Times New Roman" w:eastAsia="Times New Roman"/>
        </w:rPr>
        <w:t>800 </w:t>
      </w:r>
      <w:r>
        <w:rPr>
          <w:spacing w:val="-6"/>
        </w:rPr>
        <w:t>万元／人。今</w:t>
      </w:r>
    </w:p>
    <w:p>
      <w:pPr>
        <w:pStyle w:val="BodyText"/>
        <w:spacing w:before="68"/>
        <w:jc w:val="both"/>
      </w:pPr>
      <w:r>
        <w:rPr>
          <w:spacing w:val="-9"/>
        </w:rPr>
        <w:t>年通过评审的 </w:t>
      </w:r>
      <w:r>
        <w:rPr>
          <w:rFonts w:ascii="Times New Roman" w:hAnsi="Times New Roman" w:eastAsia="Times New Roman"/>
        </w:rPr>
        <w:t>3</w:t>
      </w:r>
      <w:r>
        <w:rPr>
          <w:rFonts w:ascii="Times New Roman" w:hAnsi="Times New Roman" w:eastAsia="Times New Roman"/>
          <w:spacing w:val="-1"/>
        </w:rPr>
        <w:t> </w:t>
      </w:r>
      <w:r>
        <w:rPr>
          <w:spacing w:val="-6"/>
        </w:rPr>
        <w:t>大奖项目，受“</w:t>
      </w:r>
      <w:r>
        <w:rPr>
          <w:rFonts w:ascii="Times New Roman" w:hAnsi="Times New Roman" w:eastAsia="Times New Roman"/>
        </w:rPr>
        <w:t>863</w:t>
      </w:r>
      <w:r>
        <w:rPr>
          <w:spacing w:val="-8"/>
        </w:rPr>
        <w:t>”计划、“</w:t>
      </w:r>
      <w:r>
        <w:rPr>
          <w:rFonts w:ascii="Times New Roman" w:hAnsi="Times New Roman" w:eastAsia="Times New Roman"/>
        </w:rPr>
        <w:t>973</w:t>
      </w:r>
      <w:r>
        <w:rPr>
          <w:spacing w:val="-6"/>
        </w:rPr>
        <w:t>”计划、国家攻关项目国家自然科学基金</w:t>
      </w:r>
    </w:p>
    <w:p>
      <w:pPr>
        <w:spacing w:after="0"/>
        <w:jc w:val="both"/>
        <w:sectPr>
          <w:pgSz w:w="11910" w:h="16850"/>
          <w:pgMar w:header="906" w:footer="531" w:top="1100" w:bottom="800" w:left="1060" w:right="0"/>
        </w:sectPr>
      </w:pPr>
    </w:p>
    <w:p>
      <w:pPr>
        <w:pStyle w:val="BodyText"/>
        <w:spacing w:before="65"/>
      </w:pPr>
      <w:r>
        <w:rPr/>
        <w:t>支持的占 </w:t>
      </w:r>
      <w:r>
        <w:rPr>
          <w:rFonts w:ascii="Times New Roman" w:eastAsia="Times New Roman"/>
        </w:rPr>
        <w:t>88.2</w:t>
      </w:r>
      <w:r>
        <w:rPr/>
        <w:t>％，其中自然科学奖支持率为 </w:t>
      </w:r>
      <w:r>
        <w:rPr>
          <w:rFonts w:ascii="Times New Roman" w:eastAsia="Times New Roman"/>
        </w:rPr>
        <w:t>97.4</w:t>
      </w:r>
      <w:r>
        <w:rPr/>
        <w:t>％。项目从立项到结题的研究时间平均为</w:t>
      </w:r>
    </w:p>
    <w:p>
      <w:pPr>
        <w:pStyle w:val="BodyText"/>
        <w:spacing w:line="295" w:lineRule="auto" w:before="72"/>
        <w:ind w:right="1129"/>
        <w:jc w:val="both"/>
      </w:pPr>
      <w:r>
        <w:rPr>
          <w:rFonts w:ascii="Times New Roman" w:eastAsia="Times New Roman"/>
        </w:rPr>
        <w:t>11.4 </w:t>
      </w:r>
      <w:r>
        <w:rPr>
          <w:spacing w:val="-8"/>
        </w:rPr>
        <w:t>年，从结题到提名国家的时间间隔为 </w:t>
      </w:r>
      <w:r>
        <w:rPr>
          <w:rFonts w:ascii="Times New Roman" w:eastAsia="Times New Roman"/>
        </w:rPr>
        <w:t>4.4 </w:t>
      </w:r>
      <w:r>
        <w:rPr>
          <w:spacing w:val="-6"/>
        </w:rPr>
        <w:t>年，获奖人员以中青年为主，第一完成人平均</w:t>
      </w:r>
      <w:r>
        <w:rPr>
          <w:spacing w:val="-20"/>
        </w:rPr>
        <w:t>年龄 </w:t>
      </w:r>
      <w:r>
        <w:rPr>
          <w:rFonts w:ascii="Times New Roman" w:eastAsia="Times New Roman"/>
        </w:rPr>
        <w:t>54.9 </w:t>
      </w:r>
      <w:r>
        <w:rPr>
          <w:spacing w:val="-9"/>
        </w:rPr>
        <w:t>岁，最年轻的 </w:t>
      </w:r>
      <w:r>
        <w:rPr>
          <w:rFonts w:ascii="Times New Roman" w:eastAsia="Times New Roman"/>
        </w:rPr>
        <w:t>38 </w:t>
      </w:r>
      <w:r>
        <w:rPr/>
        <w:t>岁。</w:t>
      </w:r>
    </w:p>
    <w:p>
      <w:pPr>
        <w:pStyle w:val="Heading2"/>
        <w:spacing w:before="234"/>
        <w:jc w:val="both"/>
      </w:pPr>
      <w:r>
        <w:rPr/>
        <w:t>【药监动态】</w:t>
      </w:r>
    </w:p>
    <w:p>
      <w:pPr>
        <w:pStyle w:val="BodyText"/>
        <w:spacing w:before="3"/>
        <w:ind w:left="0"/>
        <w:rPr>
          <w:b/>
          <w:sz w:val="31"/>
        </w:rPr>
      </w:pPr>
    </w:p>
    <w:p>
      <w:pPr>
        <w:spacing w:before="0"/>
        <w:ind w:left="0" w:right="908" w:firstLine="0"/>
        <w:jc w:val="center"/>
        <w:rPr>
          <w:sz w:val="21"/>
        </w:rPr>
      </w:pPr>
      <w:r>
        <w:rPr>
          <w:sz w:val="21"/>
        </w:rPr>
        <w:t>加快落实仿制药供应保障及使用政策方案出台</w:t>
      </w:r>
    </w:p>
    <w:p>
      <w:pPr>
        <w:pStyle w:val="Heading2"/>
        <w:spacing w:before="159"/>
        <w:ind w:left="0" w:right="912"/>
        <w:jc w:val="center"/>
      </w:pPr>
      <w:r>
        <w:rPr/>
        <w:t>第一批鼓励仿制的药品目录 6 月底前发布</w:t>
      </w:r>
    </w:p>
    <w:p>
      <w:pPr>
        <w:pStyle w:val="Heading3"/>
        <w:spacing w:before="145"/>
        <w:ind w:left="217" w:right="1128"/>
        <w:jc w:val="right"/>
      </w:pPr>
      <w:r>
        <w:rPr>
          <w:color w:val="FF0000"/>
          <w:w w:val="95"/>
        </w:rPr>
        <w:t>（来源：中国医药报）</w:t>
      </w:r>
    </w:p>
    <w:p>
      <w:pPr>
        <w:pStyle w:val="BodyText"/>
        <w:spacing w:line="297" w:lineRule="auto" w:before="96"/>
        <w:ind w:right="1126" w:firstLine="480"/>
        <w:jc w:val="both"/>
      </w:pPr>
      <w:r>
        <w:rPr>
          <w:spacing w:val="-10"/>
        </w:rPr>
        <w:t>近日，国家卫生健康委、国家市场监管总局、国家医保局、国家药监局等十二部门联合</w:t>
      </w:r>
      <w:r>
        <w:rPr>
          <w:spacing w:val="-5"/>
        </w:rPr>
        <w:t>印发《关于加快落实仿制药供应保障及使用政策工作方案》</w:t>
      </w:r>
      <w:r>
        <w:rPr/>
        <w:t>（</w:t>
      </w:r>
      <w:r>
        <w:rPr>
          <w:spacing w:val="-6"/>
        </w:rPr>
        <w:t>以下简称《工作方案》</w:t>
      </w:r>
      <w:r>
        <w:rPr>
          <w:spacing w:val="-15"/>
        </w:rPr>
        <w:t>），</w:t>
      </w:r>
      <w:r>
        <w:rPr>
          <w:spacing w:val="-13"/>
        </w:rPr>
        <w:t>明</w:t>
      </w:r>
      <w:r>
        <w:rPr>
          <w:spacing w:val="-7"/>
        </w:rPr>
        <w:t>确了及时发布鼓励仿制的药品目录、加强仿制药技术攻关、完善药品知识产权保护、加快提</w:t>
      </w:r>
      <w:r>
        <w:rPr>
          <w:spacing w:val="-10"/>
        </w:rPr>
        <w:t>高上市药品质量、促进仿制药替代使用、深化医保支付方式改革、加强反垄断执法 </w:t>
      </w:r>
      <w:r>
        <w:rPr>
          <w:rFonts w:ascii="Times New Roman" w:eastAsia="Times New Roman"/>
        </w:rPr>
        <w:t>7 </w:t>
      </w:r>
      <w:r>
        <w:rPr>
          <w:spacing w:val="-6"/>
        </w:rPr>
        <w:t>项重点</w:t>
      </w:r>
      <w:r>
        <w:rPr/>
        <w:t>任务。</w:t>
      </w:r>
    </w:p>
    <w:p>
      <w:pPr>
        <w:pStyle w:val="BodyText"/>
        <w:spacing w:line="295" w:lineRule="auto"/>
        <w:ind w:right="1206" w:firstLine="480"/>
        <w:jc w:val="both"/>
      </w:pPr>
      <w:r>
        <w:rPr/>
        <w:t>《工作方案》明确，根据临床用药需求，</w:t>
      </w:r>
      <w:r>
        <w:rPr>
          <w:rFonts w:ascii="Times New Roman" w:eastAsia="Times New Roman"/>
        </w:rPr>
        <w:t>2019 </w:t>
      </w:r>
      <w:r>
        <w:rPr>
          <w:spacing w:val="-30"/>
        </w:rPr>
        <w:t>年 </w:t>
      </w:r>
      <w:r>
        <w:rPr>
          <w:rFonts w:ascii="Times New Roman" w:eastAsia="Times New Roman"/>
        </w:rPr>
        <w:t>6 </w:t>
      </w:r>
      <w:r>
        <w:rPr>
          <w:spacing w:val="-2"/>
        </w:rPr>
        <w:t>月底前，发布第一批鼓励仿制的药</w:t>
      </w:r>
      <w:r>
        <w:rPr/>
        <w:t>品目录，引导企业研发、注册和生产。</w:t>
      </w:r>
      <w:r>
        <w:rPr>
          <w:rFonts w:ascii="Times New Roman" w:eastAsia="Times New Roman"/>
        </w:rPr>
        <w:t>2020 </w:t>
      </w:r>
      <w:r>
        <w:rPr>
          <w:spacing w:val="-1"/>
        </w:rPr>
        <w:t>年起，每年年底前发布鼓励仿制的药品目录。</w:t>
      </w:r>
    </w:p>
    <w:p>
      <w:pPr>
        <w:pStyle w:val="BodyText"/>
        <w:spacing w:line="295" w:lineRule="auto"/>
        <w:ind w:right="1126"/>
        <w:jc w:val="both"/>
      </w:pPr>
      <w:r>
        <w:rPr>
          <w:spacing w:val="-12"/>
        </w:rPr>
        <w:t>《工作方案》要求，将制约仿制药产业发展的支撑技术和临床必需、国内尚无仿制的药品及</w:t>
      </w:r>
      <w:r>
        <w:rPr>
          <w:spacing w:val="-7"/>
        </w:rPr>
        <w:t>其制剂研发列入国家相关科技计划，进行科技攻关。优化审评审批流程，对纳入鼓励仿制药</w:t>
      </w:r>
      <w:r>
        <w:rPr>
          <w:spacing w:val="-6"/>
        </w:rPr>
        <w:t>品目录的仿制药按规定予以优先审评审批。严格药品审评审批，坚持按与原研药质量和疗效</w:t>
      </w:r>
      <w:r>
        <w:rPr>
          <w:spacing w:val="-7"/>
        </w:rPr>
        <w:t>一致的原则受理和审评审批仿制药，提高药品质量安全水平。加快推进仿制药质量和疗效一</w:t>
      </w:r>
      <w:r>
        <w:rPr>
          <w:spacing w:val="-11"/>
        </w:rPr>
        <w:t>致性评价，细化落实鼓励企业开展一致性评价的政策措施。药品集中采购优先选用通过一致</w:t>
      </w:r>
      <w:r>
        <w:rPr/>
        <w:t>性评价的品种。</w:t>
      </w:r>
    </w:p>
    <w:p>
      <w:pPr>
        <w:pStyle w:val="BodyText"/>
        <w:spacing w:line="295" w:lineRule="auto" w:before="10"/>
        <w:ind w:right="1127" w:firstLine="480"/>
        <w:jc w:val="both"/>
      </w:pPr>
      <w:r>
        <w:rPr>
          <w:spacing w:val="-11"/>
        </w:rPr>
        <w:t>《工作方案》还提出深化医保支付方式改革，全面推进建立以按病种付费为主的多元复</w:t>
      </w:r>
      <w:r>
        <w:rPr>
          <w:spacing w:val="-8"/>
        </w:rPr>
        <w:t>合型医保支付方式，加强反垄断执法，持续加大对原料药领域垄断行为的打击力度，对实施</w:t>
      </w:r>
      <w:r>
        <w:rPr/>
        <w:t>原料药垄断的企业，依法从重、从快处理，形成有效威慑，维护公平竞争的市场环境。</w:t>
      </w:r>
    </w:p>
    <w:p>
      <w:pPr>
        <w:pStyle w:val="BodyText"/>
        <w:spacing w:before="2"/>
        <w:ind w:left="0"/>
        <w:rPr>
          <w:sz w:val="27"/>
        </w:rPr>
      </w:pPr>
    </w:p>
    <w:p>
      <w:pPr>
        <w:spacing w:before="0"/>
        <w:ind w:left="3285" w:right="0" w:firstLine="0"/>
        <w:jc w:val="left"/>
        <w:rPr>
          <w:sz w:val="21"/>
        </w:rPr>
      </w:pPr>
      <w:r>
        <w:rPr>
          <w:sz w:val="21"/>
        </w:rPr>
        <w:t>存在血管损害和出凝血障碍不良反应</w:t>
      </w:r>
    </w:p>
    <w:p>
      <w:pPr>
        <w:pStyle w:val="Heading2"/>
        <w:spacing w:before="156"/>
        <w:ind w:left="2554"/>
      </w:pPr>
      <w:r>
        <w:rPr/>
        <w:t>吡硫醇注射剂停止生产销售和使用</w:t>
      </w:r>
    </w:p>
    <w:p>
      <w:pPr>
        <w:pStyle w:val="Heading3"/>
        <w:spacing w:before="145"/>
        <w:ind w:left="217" w:right="1128"/>
        <w:jc w:val="right"/>
      </w:pPr>
      <w:r>
        <w:rPr>
          <w:color w:val="FF0000"/>
          <w:w w:val="95"/>
        </w:rPr>
        <w:t>（来源：中国医药报）</w:t>
      </w:r>
    </w:p>
    <w:p>
      <w:pPr>
        <w:pStyle w:val="BodyText"/>
        <w:spacing w:line="295" w:lineRule="auto" w:before="98"/>
        <w:ind w:right="1132" w:firstLine="480"/>
        <w:jc w:val="both"/>
      </w:pPr>
      <w:r>
        <w:rPr>
          <w:spacing w:val="-20"/>
        </w:rPr>
        <w:t>近日，国家药品监督管理局发布的《关于停止生产销售使用吡硫醇注射剂的公告》明确， </w:t>
      </w:r>
      <w:r>
        <w:rPr/>
        <w:t>停止吡硫醇注射剂在我国的生产、销售和使用。</w:t>
      </w:r>
    </w:p>
    <w:p>
      <w:pPr>
        <w:pStyle w:val="BodyText"/>
        <w:spacing w:line="297" w:lineRule="auto" w:before="2"/>
        <w:ind w:right="1127" w:firstLine="480"/>
        <w:jc w:val="both"/>
      </w:pPr>
      <w:r>
        <w:rPr>
          <w:spacing w:val="-8"/>
        </w:rPr>
        <w:t>吡硫醇注射剂于 </w:t>
      </w:r>
      <w:r>
        <w:rPr>
          <w:rFonts w:ascii="Times New Roman" w:eastAsia="Times New Roman"/>
        </w:rPr>
        <w:t>20 </w:t>
      </w:r>
      <w:r>
        <w:rPr>
          <w:spacing w:val="-20"/>
        </w:rPr>
        <w:t>世纪 </w:t>
      </w:r>
      <w:r>
        <w:rPr>
          <w:rFonts w:ascii="Times New Roman" w:eastAsia="Times New Roman"/>
        </w:rPr>
        <w:t>80 </w:t>
      </w:r>
      <w:r>
        <w:rPr>
          <w:spacing w:val="-9"/>
        </w:rPr>
        <w:t>年代在我国批准上市，适应证为脑外伤后遗症、脑炎等，亦</w:t>
      </w:r>
      <w:r>
        <w:rPr/>
        <w:t>用于治疗老年痴呆性精神症状。</w:t>
      </w:r>
    </w:p>
    <w:p>
      <w:pPr>
        <w:pStyle w:val="BodyText"/>
        <w:spacing w:line="295" w:lineRule="auto"/>
        <w:ind w:right="1014" w:firstLine="480"/>
      </w:pPr>
      <w:r>
        <w:rPr/>
        <w:t>吡硫醇注射剂不良反应主要为血管损害和出凝血障碍。经国家药品监管部门组织评价， 认为吡硫醇注射剂风险大于获益，予以撤销药品批准证明文件。</w:t>
      </w:r>
    </w:p>
    <w:p>
      <w:pPr>
        <w:spacing w:after="0" w:line="295" w:lineRule="auto"/>
        <w:sectPr>
          <w:pgSz w:w="11910" w:h="16850"/>
          <w:pgMar w:header="906" w:footer="531" w:top="1100" w:bottom="800" w:left="1060" w:right="0"/>
        </w:sectPr>
      </w:pPr>
    </w:p>
    <w:p>
      <w:pPr>
        <w:pStyle w:val="BodyText"/>
        <w:spacing w:before="65"/>
        <w:ind w:left="697"/>
      </w:pPr>
      <w:r>
        <w:rPr/>
        <w:t>据悉，此次共有 </w:t>
      </w:r>
      <w:r>
        <w:rPr>
          <w:rFonts w:ascii="Times New Roman" w:eastAsia="Times New Roman"/>
        </w:rPr>
        <w:t>23 </w:t>
      </w:r>
      <w:r>
        <w:rPr/>
        <w:t>个吡硫醇注射剂相关药品批准证明文件将被注销，通用名称分别为</w:t>
      </w:r>
    </w:p>
    <w:p>
      <w:pPr>
        <w:pStyle w:val="BodyText"/>
        <w:spacing w:line="295" w:lineRule="auto" w:before="72"/>
        <w:ind w:right="1145"/>
        <w:jc w:val="both"/>
      </w:pPr>
      <w:r>
        <w:rPr>
          <w:spacing w:val="-2"/>
        </w:rPr>
        <w:t>盐酸吡硫醇氯化钠注射液、盐酸吡硫醇注射液、注射用盐酸吡硫醇，涉及 </w:t>
      </w:r>
      <w:r>
        <w:rPr>
          <w:rFonts w:ascii="Times New Roman" w:eastAsia="Times New Roman"/>
        </w:rPr>
        <w:t>19 </w:t>
      </w:r>
      <w:r>
        <w:rPr>
          <w:spacing w:val="-3"/>
        </w:rPr>
        <w:t>家药品生产企</w:t>
      </w:r>
      <w:r>
        <w:rPr/>
        <w:t>业。</w:t>
      </w:r>
    </w:p>
    <w:p>
      <w:pPr>
        <w:pStyle w:val="BodyText"/>
        <w:spacing w:before="4"/>
        <w:ind w:left="697"/>
      </w:pPr>
      <w:r>
        <w:rPr/>
        <w:t>国家药监局要求各省（区、市）药品监督管理部门加强对涉及的 </w:t>
      </w:r>
      <w:r>
        <w:rPr>
          <w:rFonts w:ascii="Times New Roman" w:eastAsia="Times New Roman"/>
        </w:rPr>
        <w:t>19 </w:t>
      </w:r>
      <w:r>
        <w:rPr/>
        <w:t>家药品生产企业的</w:t>
      </w:r>
    </w:p>
    <w:p>
      <w:pPr>
        <w:pStyle w:val="BodyText"/>
        <w:spacing w:line="297" w:lineRule="auto" w:before="72"/>
        <w:ind w:right="1126"/>
        <w:jc w:val="both"/>
      </w:pPr>
      <w:r>
        <w:rPr>
          <w:spacing w:val="-13"/>
        </w:rPr>
        <w:t>监督检查，督促企业排查药品销售流向，确保已上市销售药品于 </w:t>
      </w:r>
      <w:r>
        <w:rPr>
          <w:rFonts w:ascii="Times New Roman" w:eastAsia="Times New Roman"/>
        </w:rPr>
        <w:t>2019 </w:t>
      </w:r>
      <w:r>
        <w:rPr>
          <w:spacing w:val="-30"/>
        </w:rPr>
        <w:t>年 </w:t>
      </w:r>
      <w:r>
        <w:rPr>
          <w:rFonts w:ascii="Times New Roman" w:eastAsia="Times New Roman"/>
        </w:rPr>
        <w:t>1 </w:t>
      </w:r>
      <w:r>
        <w:rPr>
          <w:spacing w:val="-30"/>
        </w:rPr>
        <w:t>月 </w:t>
      </w:r>
      <w:r>
        <w:rPr>
          <w:rFonts w:ascii="Times New Roman" w:eastAsia="Times New Roman"/>
        </w:rPr>
        <w:t>15 </w:t>
      </w:r>
      <w:r>
        <w:rPr>
          <w:spacing w:val="-3"/>
        </w:rPr>
        <w:t>日前全部召</w:t>
      </w:r>
      <w:r>
        <w:rPr>
          <w:spacing w:val="-11"/>
        </w:rPr>
        <w:t>回，并予以监督销毁；督促本行政区域内药品经营企业、使用单位落实停止销售和使用的措</w:t>
      </w:r>
      <w:r>
        <w:rPr/>
        <w:t>施，并配合做好产品召回工作。</w:t>
      </w:r>
    </w:p>
    <w:p>
      <w:pPr>
        <w:pStyle w:val="BodyText"/>
        <w:spacing w:line="297" w:lineRule="auto"/>
        <w:ind w:right="1132" w:firstLine="480"/>
        <w:jc w:val="both"/>
      </w:pPr>
      <w:r>
        <w:rPr>
          <w:spacing w:val="-6"/>
        </w:rPr>
        <w:t>药品是具有生命周期的特殊商品，其生命周期包括设计研发、注册批准、上市使用、上</w:t>
      </w:r>
      <w:r>
        <w:rPr>
          <w:spacing w:val="-10"/>
        </w:rPr>
        <w:t>市后评价、退市等环节。随着科学认知的发展，其风险获益比可能发生变化。监管部门出于</w:t>
      </w:r>
      <w:r>
        <w:rPr/>
        <w:t>维护公众健康的慎重考虑，对于风险大于获益的药品予以撤市。</w:t>
      </w:r>
    </w:p>
    <w:p>
      <w:pPr>
        <w:pStyle w:val="BodyText"/>
        <w:spacing w:before="6"/>
        <w:ind w:left="0"/>
        <w:rPr>
          <w:sz w:val="17"/>
        </w:rPr>
      </w:pPr>
    </w:p>
    <w:p>
      <w:pPr>
        <w:pStyle w:val="Heading2"/>
        <w:spacing w:before="1"/>
        <w:ind w:left="0" w:right="919"/>
        <w:jc w:val="center"/>
      </w:pPr>
      <w:r>
        <w:rPr/>
        <w:t>第十九批仿制药参比制剂目录发布</w:t>
      </w:r>
    </w:p>
    <w:p>
      <w:pPr>
        <w:pStyle w:val="Heading3"/>
        <w:spacing w:before="145"/>
        <w:ind w:left="217" w:right="1128"/>
        <w:jc w:val="right"/>
      </w:pPr>
      <w:r>
        <w:rPr>
          <w:color w:val="FF0000"/>
          <w:w w:val="95"/>
        </w:rPr>
        <w:t>（来源：中国医药报）</w:t>
      </w:r>
    </w:p>
    <w:p>
      <w:pPr>
        <w:pStyle w:val="BodyText"/>
        <w:spacing w:before="98"/>
        <w:ind w:left="697"/>
        <w:rPr>
          <w:rFonts w:ascii="Times New Roman" w:eastAsia="Times New Roman"/>
        </w:rPr>
      </w:pPr>
      <w:r>
        <w:rPr/>
        <w:t>近日，国家药品监督管理局发布仿制药参比制剂目录（第十九批）。据统计，从 </w:t>
      </w:r>
      <w:r>
        <w:rPr>
          <w:rFonts w:ascii="Times New Roman" w:eastAsia="Times New Roman"/>
        </w:rPr>
        <w:t>2017</w:t>
      </w:r>
    </w:p>
    <w:p>
      <w:pPr>
        <w:pStyle w:val="BodyText"/>
        <w:spacing w:before="72"/>
        <w:jc w:val="both"/>
      </w:pPr>
      <w:r>
        <w:rPr/>
        <w:t>年 </w:t>
      </w:r>
      <w:r>
        <w:rPr>
          <w:rFonts w:ascii="Times New Roman" w:eastAsia="Times New Roman"/>
        </w:rPr>
        <w:t>3 </w:t>
      </w:r>
      <w:r>
        <w:rPr/>
        <w:t>月 </w:t>
      </w:r>
      <w:r>
        <w:rPr>
          <w:rFonts w:ascii="Times New Roman" w:eastAsia="Times New Roman"/>
        </w:rPr>
        <w:t>17 </w:t>
      </w:r>
      <w:r>
        <w:rPr/>
        <w:t>日发布仿制药参比制剂目录（第一批），截至目前，国家药监部门共发布 </w:t>
      </w:r>
      <w:r>
        <w:rPr>
          <w:rFonts w:ascii="Times New Roman" w:eastAsia="Times New Roman"/>
        </w:rPr>
        <w:t>19 </w:t>
      </w:r>
      <w:r>
        <w:rPr/>
        <w:t>批仿</w:t>
      </w:r>
    </w:p>
    <w:p>
      <w:pPr>
        <w:pStyle w:val="BodyText"/>
        <w:spacing w:before="71"/>
        <w:jc w:val="both"/>
      </w:pPr>
      <w:r>
        <w:rPr/>
        <w:t>制药参比制剂目录。不同规格计算在内，共计 </w:t>
      </w:r>
      <w:r>
        <w:rPr>
          <w:rFonts w:ascii="Times New Roman" w:eastAsia="Times New Roman"/>
        </w:rPr>
        <w:t>1151 </w:t>
      </w:r>
      <w:r>
        <w:rPr/>
        <w:t>个品规。</w:t>
      </w:r>
    </w:p>
    <w:p>
      <w:pPr>
        <w:pStyle w:val="BodyText"/>
        <w:spacing w:line="295" w:lineRule="auto" w:before="74"/>
        <w:ind w:right="1128" w:firstLine="480"/>
        <w:jc w:val="both"/>
      </w:pPr>
      <w:r>
        <w:rPr>
          <w:spacing w:val="-7"/>
        </w:rPr>
        <w:t>此次发布的仿制药参比制剂包括：布洛芬混悬液、桂利嗪片、桂利嗪胶囊、地喹氯铵含</w:t>
      </w:r>
      <w:r>
        <w:rPr>
          <w:spacing w:val="-6"/>
        </w:rPr>
        <w:t>片、盐酸阿夫唑嗪缓释片、格列汀二甲双胍缓释片</w:t>
      </w:r>
      <w:r>
        <w:rPr>
          <w:spacing w:val="-5"/>
        </w:rPr>
        <w:t>（Ⅱ）</w:t>
      </w:r>
      <w:r>
        <w:rPr>
          <w:spacing w:val="-8"/>
        </w:rPr>
        <w:t>、达格列净片、阿戈美拉汀片、铝</w:t>
      </w:r>
      <w:r>
        <w:rPr/>
        <w:t>碳酸镁混悬液、华法林钠片、阿法骨化醇软胶囊、格列齐特片（Ⅱ）、依非韦伦片。</w:t>
      </w:r>
    </w:p>
    <w:p>
      <w:pPr>
        <w:pStyle w:val="BodyText"/>
        <w:spacing w:line="297" w:lineRule="auto" w:before="6"/>
        <w:ind w:right="1129" w:firstLine="480"/>
        <w:jc w:val="both"/>
      </w:pPr>
      <w:r>
        <w:rPr>
          <w:spacing w:val="-12"/>
        </w:rPr>
        <w:t>据介绍，华法林钠片、阿法骨化醇软胶囊、依非韦伦片均为首批需完成仿制药一致性评</w:t>
      </w:r>
      <w:r>
        <w:rPr>
          <w:spacing w:val="-20"/>
        </w:rPr>
        <w:t>价的 </w:t>
      </w:r>
      <w:r>
        <w:rPr>
          <w:rFonts w:ascii="Times New Roman" w:eastAsia="Times New Roman"/>
        </w:rPr>
        <w:t>289 </w:t>
      </w:r>
      <w:r>
        <w:rPr>
          <w:spacing w:val="-9"/>
        </w:rPr>
        <w:t>个基本药物品种之一。近年来，药品监管部门加大改革步伐，逐步解决人体生物等</w:t>
      </w:r>
      <w:r>
        <w:rPr/>
        <w:t>效性（</w:t>
      </w:r>
      <w:r>
        <w:rPr>
          <w:rFonts w:ascii="Times New Roman" w:eastAsia="Times New Roman"/>
        </w:rPr>
        <w:t>BE</w:t>
      </w:r>
      <w:r>
        <w:rPr/>
        <w:t>）试验临床机构资源紧张、参比制剂难获得等难题，扎实做好参比制剂遴选，发</w:t>
      </w:r>
      <w:r>
        <w:rPr>
          <w:spacing w:val="-16"/>
        </w:rPr>
        <w:t>布豁免 </w:t>
      </w:r>
      <w:r>
        <w:rPr>
          <w:rFonts w:ascii="Times New Roman" w:eastAsia="Times New Roman"/>
        </w:rPr>
        <w:t>BE </w:t>
      </w:r>
      <w:r>
        <w:rPr>
          <w:spacing w:val="-7"/>
        </w:rPr>
        <w:t>研究品种，强化审评、核查、检验等各项工作，为仿制药一致性评价顺利推进提</w:t>
      </w:r>
      <w:r>
        <w:rPr/>
        <w:t>供条件。</w:t>
      </w:r>
    </w:p>
    <w:p>
      <w:pPr>
        <w:pStyle w:val="BodyText"/>
        <w:spacing w:before="4"/>
        <w:ind w:left="0"/>
        <w:rPr>
          <w:sz w:val="13"/>
        </w:rPr>
      </w:pPr>
    </w:p>
    <w:p>
      <w:pPr>
        <w:spacing w:after="0"/>
        <w:rPr>
          <w:sz w:val="13"/>
        </w:rPr>
        <w:sectPr>
          <w:pgSz w:w="11910" w:h="16850"/>
          <w:pgMar w:header="906" w:footer="531" w:top="1100" w:bottom="800" w:left="1060" w:right="0"/>
        </w:sectPr>
      </w:pPr>
    </w:p>
    <w:p>
      <w:pPr>
        <w:pStyle w:val="Heading2"/>
        <w:spacing w:before="54"/>
        <w:ind w:left="2754"/>
      </w:pPr>
      <w:r>
        <w:rPr/>
        <w:t>14</w:t>
      </w:r>
      <w:r>
        <w:rPr>
          <w:spacing w:val="-17"/>
        </w:rPr>
        <w:t> 个品种可豁免或简化 </w:t>
      </w:r>
      <w:r>
        <w:rPr/>
        <w:t>BE</w:t>
      </w:r>
      <w:r>
        <w:rPr>
          <w:spacing w:val="-32"/>
        </w:rPr>
        <w:t> 试验</w:t>
      </w:r>
    </w:p>
    <w:p>
      <w:pPr>
        <w:pStyle w:val="BodyText"/>
        <w:ind w:left="0"/>
        <w:rPr>
          <w:b/>
        </w:rPr>
      </w:pPr>
      <w:r>
        <w:rPr/>
        <w:br w:type="column"/>
      </w:r>
      <w:r>
        <w:rPr>
          <w:b/>
        </w:rPr>
      </w:r>
    </w:p>
    <w:p>
      <w:pPr>
        <w:pStyle w:val="BodyText"/>
        <w:spacing w:before="9"/>
        <w:ind w:left="0"/>
        <w:rPr>
          <w:b/>
          <w:sz w:val="23"/>
        </w:rPr>
      </w:pPr>
    </w:p>
    <w:p>
      <w:pPr>
        <w:pStyle w:val="Heading3"/>
        <w:spacing w:before="1"/>
        <w:ind w:left="87"/>
      </w:pPr>
      <w:r>
        <w:rPr>
          <w:color w:val="FF0000"/>
        </w:rPr>
        <w:t>（来源：中国医药报）</w:t>
      </w:r>
    </w:p>
    <w:p>
      <w:pPr>
        <w:spacing w:after="0"/>
        <w:sectPr>
          <w:type w:val="continuous"/>
          <w:pgSz w:w="11910" w:h="16850"/>
          <w:pgMar w:top="1080" w:bottom="1020" w:left="1060" w:right="0"/>
          <w:cols w:num="2" w:equalWidth="0">
            <w:col w:w="7179" w:space="40"/>
            <w:col w:w="3631"/>
          </w:cols>
        </w:sectPr>
      </w:pPr>
    </w:p>
    <w:p>
      <w:pPr>
        <w:pStyle w:val="BodyText"/>
        <w:spacing w:line="295" w:lineRule="auto" w:before="95"/>
        <w:ind w:right="1011" w:firstLine="480"/>
      </w:pPr>
      <w:r>
        <w:rPr/>
        <w:t>国家药品监督管理局日前发布通告，再公布 </w:t>
      </w:r>
      <w:r>
        <w:rPr>
          <w:rFonts w:ascii="Times New Roman" w:eastAsia="Times New Roman"/>
        </w:rPr>
        <w:t>14 </w:t>
      </w:r>
      <w:r>
        <w:rPr/>
        <w:t>个可豁免或简化人体生物等效性（</w:t>
      </w:r>
      <w:r>
        <w:rPr>
          <w:rFonts w:ascii="Times New Roman" w:eastAsia="Times New Roman"/>
        </w:rPr>
        <w:t>BE</w:t>
      </w:r>
      <w:r>
        <w:rPr/>
        <w:t>） 试验药品品种。</w:t>
      </w:r>
    </w:p>
    <w:p>
      <w:pPr>
        <w:pStyle w:val="BodyText"/>
        <w:spacing w:before="5"/>
        <w:ind w:left="697"/>
      </w:pPr>
      <w:r>
        <w:rPr/>
        <w:t>本次公布可豁免人体</w:t>
      </w:r>
      <w:r>
        <w:rPr>
          <w:rFonts w:ascii="Times New Roman" w:eastAsia="Times New Roman"/>
        </w:rPr>
        <w:t>BE </w:t>
      </w:r>
      <w:r>
        <w:rPr/>
        <w:t>试验的 </w:t>
      </w:r>
      <w:r>
        <w:rPr>
          <w:rFonts w:ascii="Times New Roman" w:eastAsia="Times New Roman"/>
        </w:rPr>
        <w:t>14 </w:t>
      </w:r>
      <w:r>
        <w:rPr/>
        <w:t>个品种涉及多个品规。其中，维生素 </w:t>
      </w:r>
      <w:r>
        <w:rPr>
          <w:rFonts w:ascii="Times New Roman" w:eastAsia="Times New Roman"/>
        </w:rPr>
        <w:t>C </w:t>
      </w:r>
      <w:r>
        <w:rPr/>
        <w:t>泡腾片（</w:t>
      </w:r>
      <w:r>
        <w:rPr>
          <w:rFonts w:ascii="Times New Roman" w:eastAsia="Times New Roman"/>
        </w:rPr>
        <w:t>0.3g</w:t>
      </w:r>
      <w:r>
        <w:rPr/>
        <w:t>、</w:t>
      </w:r>
    </w:p>
    <w:p>
      <w:pPr>
        <w:pStyle w:val="BodyText"/>
        <w:spacing w:line="297" w:lineRule="auto" w:before="71"/>
        <w:ind w:right="1127"/>
        <w:jc w:val="both"/>
      </w:pPr>
      <w:r>
        <w:rPr>
          <w:rFonts w:ascii="Times New Roman" w:hAnsi="Times New Roman" w:eastAsia="Times New Roman"/>
        </w:rPr>
        <w:t>0.5g</w:t>
      </w:r>
      <w:r>
        <w:rPr/>
        <w:t>、</w:t>
      </w:r>
      <w:r>
        <w:rPr>
          <w:rFonts w:ascii="Times New Roman" w:hAnsi="Times New Roman" w:eastAsia="Times New Roman"/>
        </w:rPr>
        <w:t>1.0g</w:t>
      </w:r>
      <w:r>
        <w:rPr/>
        <w:t>），</w:t>
      </w:r>
      <w:r>
        <w:rPr>
          <w:spacing w:val="-20"/>
        </w:rPr>
        <w:t>辅酶 </w:t>
      </w:r>
      <w:r>
        <w:rPr>
          <w:rFonts w:ascii="Times New Roman" w:hAnsi="Times New Roman" w:eastAsia="Times New Roman"/>
        </w:rPr>
        <w:t>Q10 </w:t>
      </w:r>
      <w:r>
        <w:rPr/>
        <w:t>胶囊（</w:t>
      </w:r>
      <w:r>
        <w:rPr>
          <w:rFonts w:ascii="Times New Roman" w:hAnsi="Times New Roman" w:eastAsia="Times New Roman"/>
        </w:rPr>
        <w:t>5mg</w:t>
      </w:r>
      <w:r>
        <w:rPr/>
        <w:t>、</w:t>
      </w:r>
      <w:r>
        <w:rPr>
          <w:rFonts w:ascii="Times New Roman" w:hAnsi="Times New Roman" w:eastAsia="Times New Roman"/>
        </w:rPr>
        <w:t>10mg</w:t>
      </w:r>
      <w:r>
        <w:rPr/>
        <w:t>、</w:t>
      </w:r>
      <w:r>
        <w:rPr>
          <w:rFonts w:ascii="Times New Roman" w:hAnsi="Times New Roman" w:eastAsia="Times New Roman"/>
        </w:rPr>
        <w:t>15mg</w:t>
      </w:r>
      <w:r>
        <w:rPr/>
        <w:t>），</w:t>
      </w:r>
      <w:r>
        <w:rPr>
          <w:spacing w:val="-20"/>
        </w:rPr>
        <w:t>辅酶 </w:t>
      </w:r>
      <w:r>
        <w:rPr>
          <w:rFonts w:ascii="Times New Roman" w:hAnsi="Times New Roman" w:eastAsia="Times New Roman"/>
        </w:rPr>
        <w:t>Q10 </w:t>
      </w:r>
      <w:r>
        <w:rPr/>
        <w:t>片（</w:t>
      </w:r>
      <w:r>
        <w:rPr>
          <w:rFonts w:ascii="Times New Roman" w:hAnsi="Times New Roman" w:eastAsia="Times New Roman"/>
        </w:rPr>
        <w:t>10mg</w:t>
      </w:r>
      <w:r>
        <w:rPr/>
        <w:t>），氨基葡萄糖</w:t>
      </w:r>
      <w:r>
        <w:rPr>
          <w:spacing w:val="-3"/>
        </w:rPr>
        <w:t>类口服固体制剂</w:t>
      </w:r>
      <w:r>
        <w:rPr/>
        <w:t>（已批准的所有规格</w:t>
      </w:r>
      <w:r>
        <w:rPr>
          <w:spacing w:val="-17"/>
        </w:rPr>
        <w:t>）</w:t>
      </w:r>
      <w:r>
        <w:rPr>
          <w:spacing w:val="-6"/>
        </w:rPr>
        <w:t>，聚乙二醇钠钾散</w:t>
      </w:r>
      <w:r>
        <w:rPr/>
        <w:t>（已批准的所有规格</w:t>
      </w:r>
      <w:r>
        <w:rPr>
          <w:spacing w:val="-17"/>
        </w:rPr>
        <w:t>）</w:t>
      </w:r>
      <w:r>
        <w:rPr>
          <w:spacing w:val="-8"/>
        </w:rPr>
        <w:t>，复方聚乙</w:t>
      </w:r>
      <w:r>
        <w:rPr/>
        <w:t>二醇电解质散Ⅲ（已批准的所有规格），</w:t>
      </w:r>
      <w:r>
        <w:rPr>
          <w:spacing w:val="-8"/>
        </w:rPr>
        <w:t>以上药物可豁免 </w:t>
      </w:r>
      <w:r>
        <w:rPr>
          <w:rFonts w:ascii="Times New Roman" w:hAnsi="Times New Roman" w:eastAsia="Times New Roman"/>
        </w:rPr>
        <w:t>BE</w:t>
      </w:r>
      <w:r>
        <w:rPr/>
        <w:t>，只需要满足药学研究和评价</w:t>
      </w:r>
      <w:r>
        <w:rPr>
          <w:spacing w:val="-4"/>
        </w:rPr>
        <w:t>要求，国家药监局不推荐参比制剂。对乙酰氨基酚泡腾片</w:t>
      </w:r>
      <w:r>
        <w:rPr>
          <w:rFonts w:ascii="Times New Roman" w:hAnsi="Times New Roman" w:eastAsia="Times New Roman"/>
        </w:rPr>
        <w:t>(</w:t>
      </w:r>
      <w:r>
        <w:rPr/>
        <w:t>已批准的所有规格</w:t>
      </w:r>
      <w:r>
        <w:rPr>
          <w:rFonts w:ascii="Times New Roman" w:hAnsi="Times New Roman" w:eastAsia="Times New Roman"/>
          <w:spacing w:val="-5"/>
        </w:rPr>
        <w:t>)</w:t>
      </w:r>
      <w:r>
        <w:rPr>
          <w:spacing w:val="-4"/>
        </w:rPr>
        <w:t>，对乙酰氨基</w:t>
      </w:r>
      <w:r>
        <w:rPr>
          <w:spacing w:val="-13"/>
        </w:rPr>
        <w:t>酚维生素 </w:t>
      </w:r>
      <w:r>
        <w:rPr>
          <w:rFonts w:ascii="Times New Roman" w:hAnsi="Times New Roman" w:eastAsia="Times New Roman"/>
        </w:rPr>
        <w:t>C </w:t>
      </w:r>
      <w:r>
        <w:rPr>
          <w:spacing w:val="-11"/>
        </w:rPr>
        <w:t>泡腾片</w:t>
      </w:r>
      <w:r>
        <w:rPr/>
        <w:t>（</w:t>
      </w:r>
      <w:r>
        <w:rPr>
          <w:spacing w:val="-6"/>
        </w:rPr>
        <w:t>每片含对乙酰氨基酚 </w:t>
      </w:r>
      <w:r>
        <w:rPr>
          <w:rFonts w:ascii="Times New Roman" w:hAnsi="Times New Roman" w:eastAsia="Times New Roman"/>
        </w:rPr>
        <w:t>0.33g</w:t>
      </w:r>
      <w:r>
        <w:rPr>
          <w:spacing w:val="-20"/>
        </w:rPr>
        <w:t>、维生素 </w:t>
      </w:r>
      <w:r>
        <w:rPr>
          <w:rFonts w:ascii="Times New Roman" w:hAnsi="Times New Roman" w:eastAsia="Times New Roman"/>
        </w:rPr>
        <w:t>C </w:t>
      </w:r>
      <w:r>
        <w:rPr>
          <w:rFonts w:ascii="Times New Roman" w:hAnsi="Times New Roman" w:eastAsia="Times New Roman"/>
          <w:spacing w:val="-11"/>
        </w:rPr>
        <w:t>0.2g</w:t>
      </w:r>
      <w:r>
        <w:rPr>
          <w:spacing w:val="-11"/>
        </w:rPr>
        <w:t>），</w:t>
      </w:r>
      <w:r>
        <w:rPr>
          <w:spacing w:val="-6"/>
        </w:rPr>
        <w:t>西吡氯铵含片</w:t>
      </w:r>
      <w:r>
        <w:rPr>
          <w:spacing w:val="-11"/>
        </w:rPr>
        <w:t>（</w:t>
      </w:r>
      <w:r>
        <w:rPr>
          <w:rFonts w:ascii="Times New Roman" w:hAnsi="Times New Roman" w:eastAsia="Times New Roman"/>
          <w:spacing w:val="-11"/>
        </w:rPr>
        <w:t>2mg</w:t>
      </w:r>
      <w:r>
        <w:rPr>
          <w:spacing w:val="-11"/>
        </w:rPr>
        <w:t>）， </w:t>
      </w:r>
      <w:r>
        <w:rPr>
          <w:spacing w:val="-16"/>
        </w:rPr>
        <w:t>可豁免 </w:t>
      </w:r>
      <w:r>
        <w:rPr>
          <w:rFonts w:ascii="Times New Roman" w:hAnsi="Times New Roman" w:eastAsia="Times New Roman"/>
        </w:rPr>
        <w:t>BE</w:t>
      </w:r>
      <w:r>
        <w:rPr/>
        <w:t>，但尚需要与参比制剂进行药学比较，评价一致性。</w:t>
      </w:r>
    </w:p>
    <w:p>
      <w:pPr>
        <w:pStyle w:val="BodyText"/>
        <w:spacing w:line="300" w:lineRule="exact"/>
        <w:ind w:left="697"/>
      </w:pPr>
      <w:r>
        <w:rPr>
          <w:spacing w:val="-7"/>
        </w:rPr>
        <w:t>根据国家药监局此前发布的《人体生物等效性豁免指导原则》，部分药品可以申请豁免</w:t>
      </w:r>
    </w:p>
    <w:p>
      <w:pPr>
        <w:pStyle w:val="BodyText"/>
        <w:spacing w:before="72"/>
        <w:jc w:val="both"/>
      </w:pPr>
      <w:r>
        <w:rPr>
          <w:rFonts w:ascii="Times New Roman" w:eastAsia="Times New Roman"/>
        </w:rPr>
        <w:t>BE </w:t>
      </w:r>
      <w:r>
        <w:rPr>
          <w:spacing w:val="-8"/>
        </w:rPr>
        <w:t>试验。本次公布的可申请豁免 </w:t>
      </w:r>
      <w:r>
        <w:rPr>
          <w:rFonts w:ascii="Times New Roman" w:eastAsia="Times New Roman"/>
        </w:rPr>
        <w:t>BE </w:t>
      </w:r>
      <w:r>
        <w:rPr>
          <w:spacing w:val="-2"/>
        </w:rPr>
        <w:t>试验的品规分别有甲钴胺片</w:t>
      </w:r>
      <w:r>
        <w:rPr>
          <w:spacing w:val="-4"/>
        </w:rPr>
        <w:t>（</w:t>
      </w:r>
      <w:r>
        <w:rPr>
          <w:rFonts w:ascii="Times New Roman" w:eastAsia="Times New Roman"/>
          <w:spacing w:val="-4"/>
        </w:rPr>
        <w:t>0.5mg</w:t>
      </w:r>
      <w:r>
        <w:rPr>
          <w:spacing w:val="-4"/>
        </w:rPr>
        <w:t>），</w:t>
      </w:r>
      <w:r>
        <w:rPr/>
        <w:t>替莫唑胺胶囊</w:t>
      </w:r>
    </w:p>
    <w:p>
      <w:pPr>
        <w:spacing w:after="0"/>
        <w:jc w:val="both"/>
        <w:sectPr>
          <w:type w:val="continuous"/>
          <w:pgSz w:w="11910" w:h="16850"/>
          <w:pgMar w:top="1080" w:bottom="1020" w:left="1060" w:right="0"/>
        </w:sectPr>
      </w:pPr>
    </w:p>
    <w:p>
      <w:pPr>
        <w:pStyle w:val="BodyText"/>
        <w:spacing w:line="295" w:lineRule="auto" w:before="65"/>
        <w:ind w:right="1009"/>
      </w:pPr>
      <w:r>
        <w:rPr/>
        <w:t>（</w:t>
      </w:r>
      <w:r>
        <w:rPr>
          <w:rFonts w:ascii="Times New Roman" w:eastAsia="Times New Roman"/>
        </w:rPr>
        <w:t>5mg</w:t>
      </w:r>
      <w:r>
        <w:rPr>
          <w:spacing w:val="-56"/>
        </w:rPr>
        <w:t>、</w:t>
      </w:r>
      <w:r>
        <w:rPr>
          <w:rFonts w:ascii="Times New Roman" w:eastAsia="Times New Roman"/>
        </w:rPr>
        <w:t>20mg</w:t>
      </w:r>
      <w:r>
        <w:rPr>
          <w:spacing w:val="-56"/>
        </w:rPr>
        <w:t>、</w:t>
      </w:r>
      <w:r>
        <w:rPr>
          <w:rFonts w:ascii="Times New Roman" w:eastAsia="Times New Roman"/>
        </w:rPr>
        <w:t>50mg</w:t>
      </w:r>
      <w:r>
        <w:rPr>
          <w:spacing w:val="-56"/>
        </w:rPr>
        <w:t>、</w:t>
      </w:r>
      <w:r>
        <w:rPr>
          <w:rFonts w:ascii="Times New Roman" w:eastAsia="Times New Roman"/>
          <w:spacing w:val="-17"/>
        </w:rPr>
        <w:t>100mg</w:t>
      </w:r>
      <w:r>
        <w:rPr>
          <w:spacing w:val="-17"/>
        </w:rPr>
        <w:t>），</w:t>
      </w:r>
      <w:r>
        <w:rPr>
          <w:spacing w:val="-10"/>
        </w:rPr>
        <w:t>左乙拉西坦片</w:t>
      </w:r>
      <w:r>
        <w:rPr/>
        <w:t>（</w:t>
      </w:r>
      <w:r>
        <w:rPr>
          <w:rFonts w:ascii="Times New Roman" w:eastAsia="Times New Roman"/>
        </w:rPr>
        <w:t>0.25g</w:t>
      </w:r>
      <w:r>
        <w:rPr>
          <w:spacing w:val="-56"/>
        </w:rPr>
        <w:t>、</w:t>
      </w:r>
      <w:r>
        <w:rPr>
          <w:rFonts w:ascii="Times New Roman" w:eastAsia="Times New Roman"/>
        </w:rPr>
        <w:t>0.5g</w:t>
      </w:r>
      <w:r>
        <w:rPr>
          <w:spacing w:val="-56"/>
        </w:rPr>
        <w:t>、</w:t>
      </w:r>
      <w:r>
        <w:rPr>
          <w:rFonts w:ascii="Times New Roman" w:eastAsia="Times New Roman"/>
          <w:spacing w:val="-29"/>
        </w:rPr>
        <w:t>1g</w:t>
      </w:r>
      <w:r>
        <w:rPr>
          <w:spacing w:val="-29"/>
        </w:rPr>
        <w:t>），</w:t>
      </w:r>
      <w:r>
        <w:rPr>
          <w:spacing w:val="-11"/>
        </w:rPr>
        <w:t>盐酸美金刚片</w:t>
      </w:r>
      <w:r>
        <w:rPr>
          <w:spacing w:val="-16"/>
        </w:rPr>
        <w:t>（</w:t>
      </w:r>
      <w:r>
        <w:rPr>
          <w:rFonts w:ascii="Times New Roman" w:eastAsia="Times New Roman"/>
          <w:spacing w:val="-16"/>
        </w:rPr>
        <w:t>10mg</w:t>
      </w:r>
      <w:r>
        <w:rPr>
          <w:spacing w:val="-16"/>
        </w:rPr>
        <w:t>）， </w:t>
      </w:r>
      <w:r>
        <w:rPr/>
        <w:t>恩曲他滨胶囊（</w:t>
      </w:r>
      <w:r>
        <w:rPr>
          <w:rFonts w:ascii="Times New Roman" w:eastAsia="Times New Roman"/>
        </w:rPr>
        <w:t>0.2g</w:t>
      </w:r>
      <w:r>
        <w:rPr/>
        <w:t>）</w:t>
      </w:r>
      <w:r>
        <w:rPr>
          <w:rFonts w:ascii="Times New Roman" w:eastAsia="Times New Roman"/>
        </w:rPr>
        <w:t>,</w:t>
      </w:r>
      <w:r>
        <w:rPr>
          <w:spacing w:val="-3"/>
        </w:rPr>
        <w:t>以上药品的生产企业申请豁免 </w:t>
      </w:r>
      <w:r>
        <w:rPr>
          <w:rFonts w:ascii="Times New Roman" w:eastAsia="Times New Roman"/>
        </w:rPr>
        <w:t>BE </w:t>
      </w:r>
      <w:r>
        <w:rPr/>
        <w:t>研究，采用药学方法评价一致性。</w:t>
      </w:r>
    </w:p>
    <w:p>
      <w:pPr>
        <w:pStyle w:val="BodyText"/>
        <w:spacing w:line="297" w:lineRule="auto" w:before="2"/>
        <w:ind w:right="1131" w:firstLine="480"/>
      </w:pPr>
      <w:r>
        <w:rPr>
          <w:spacing w:val="-15"/>
        </w:rPr>
        <w:t>值得关注的是，本次公布的药品均不属于 </w:t>
      </w:r>
      <w:r>
        <w:rPr>
          <w:rFonts w:ascii="Times New Roman" w:eastAsia="Times New Roman"/>
        </w:rPr>
        <w:t>289 </w:t>
      </w:r>
      <w:r>
        <w:rPr>
          <w:spacing w:val="-12"/>
        </w:rPr>
        <w:t>个基本药物目录品种。</w:t>
      </w:r>
      <w:r>
        <w:rPr>
          <w:rFonts w:ascii="Times New Roman" w:eastAsia="Times New Roman"/>
        </w:rPr>
        <w:t>2018 </w:t>
      </w:r>
      <w:r>
        <w:rPr>
          <w:spacing w:val="-34"/>
        </w:rPr>
        <w:t>年 </w:t>
      </w:r>
      <w:r>
        <w:rPr>
          <w:rFonts w:ascii="Times New Roman" w:eastAsia="Times New Roman"/>
        </w:rPr>
        <w:t>5 </w:t>
      </w:r>
      <w:r>
        <w:rPr>
          <w:spacing w:val="-34"/>
        </w:rPr>
        <w:t>月 </w:t>
      </w:r>
      <w:r>
        <w:rPr>
          <w:rFonts w:ascii="Times New Roman" w:eastAsia="Times New Roman"/>
        </w:rPr>
        <w:t>31 </w:t>
      </w:r>
      <w:r>
        <w:rPr>
          <w:spacing w:val="-7"/>
        </w:rPr>
        <w:t>日， </w:t>
      </w:r>
      <w:r>
        <w:rPr>
          <w:spacing w:val="-4"/>
        </w:rPr>
        <w:t>国家药监局首次公布了可豁免或简化人体 </w:t>
      </w:r>
      <w:r>
        <w:rPr>
          <w:rFonts w:ascii="Times New Roman" w:eastAsia="Times New Roman"/>
        </w:rPr>
        <w:t>BE </w:t>
      </w:r>
      <w:r>
        <w:rPr>
          <w:spacing w:val="-15"/>
        </w:rPr>
        <w:t>试验的 </w:t>
      </w:r>
      <w:r>
        <w:rPr>
          <w:rFonts w:ascii="Times New Roman" w:eastAsia="Times New Roman"/>
        </w:rPr>
        <w:t>48 </w:t>
      </w:r>
      <w:r>
        <w:rPr>
          <w:spacing w:val="-8"/>
        </w:rPr>
        <w:t>个品种，均属于 </w:t>
      </w:r>
      <w:r>
        <w:rPr>
          <w:rFonts w:ascii="Times New Roman" w:eastAsia="Times New Roman"/>
        </w:rPr>
        <w:t>289 </w:t>
      </w:r>
      <w:r>
        <w:rPr/>
        <w:t>目录品种。</w:t>
      </w:r>
    </w:p>
    <w:p>
      <w:pPr>
        <w:pStyle w:val="BodyText"/>
        <w:spacing w:before="9"/>
        <w:ind w:left="0"/>
        <w:rPr>
          <w:sz w:val="13"/>
        </w:rPr>
      </w:pPr>
    </w:p>
    <w:p>
      <w:pPr>
        <w:spacing w:after="0"/>
        <w:rPr>
          <w:sz w:val="13"/>
        </w:rPr>
        <w:sectPr>
          <w:pgSz w:w="11910" w:h="16850"/>
          <w:pgMar w:header="906" w:footer="531" w:top="1100" w:bottom="800" w:left="1060" w:right="0"/>
        </w:sectPr>
      </w:pPr>
    </w:p>
    <w:p>
      <w:pPr>
        <w:pStyle w:val="Heading2"/>
        <w:spacing w:before="54"/>
        <w:ind w:left="2634"/>
      </w:pPr>
      <w:r>
        <w:rPr>
          <w:spacing w:val="-12"/>
        </w:rPr>
        <w:t>药审中心公示 </w:t>
      </w:r>
      <w:r>
        <w:rPr/>
        <w:t>36</w:t>
      </w:r>
      <w:r>
        <w:rPr>
          <w:spacing w:val="-13"/>
        </w:rPr>
        <w:t> 个优先审评品种</w:t>
      </w:r>
    </w:p>
    <w:p>
      <w:pPr>
        <w:pStyle w:val="BodyText"/>
        <w:ind w:left="0"/>
        <w:rPr>
          <w:b/>
        </w:rPr>
      </w:pPr>
      <w:r>
        <w:rPr/>
        <w:br w:type="column"/>
      </w:r>
      <w:r>
        <w:rPr>
          <w:b/>
        </w:rPr>
      </w:r>
    </w:p>
    <w:p>
      <w:pPr>
        <w:pStyle w:val="BodyText"/>
        <w:spacing w:before="7"/>
        <w:ind w:left="0"/>
        <w:rPr>
          <w:b/>
          <w:sz w:val="23"/>
        </w:rPr>
      </w:pPr>
    </w:p>
    <w:p>
      <w:pPr>
        <w:pStyle w:val="Heading3"/>
        <w:ind w:left="-33"/>
      </w:pPr>
      <w:r>
        <w:rPr>
          <w:color w:val="FF0000"/>
        </w:rPr>
        <w:t>（来源：中国医药报）</w:t>
      </w:r>
    </w:p>
    <w:p>
      <w:pPr>
        <w:spacing w:after="0"/>
        <w:sectPr>
          <w:type w:val="continuous"/>
          <w:pgSz w:w="11910" w:h="16850"/>
          <w:pgMar w:top="1080" w:bottom="1020" w:left="1060" w:right="0"/>
          <w:cols w:num="2" w:equalWidth="0">
            <w:col w:w="7298" w:space="40"/>
            <w:col w:w="3512"/>
          </w:cols>
        </w:sectPr>
      </w:pPr>
    </w:p>
    <w:p>
      <w:pPr>
        <w:pStyle w:val="BodyText"/>
        <w:spacing w:before="99"/>
        <w:ind w:left="697"/>
      </w:pPr>
      <w:r>
        <w:rPr/>
        <w:t>近日，药品审评中心在其网站公示两批共 </w:t>
      </w:r>
      <w:r>
        <w:rPr>
          <w:rFonts w:ascii="Times New Roman" w:eastAsia="Times New Roman"/>
        </w:rPr>
        <w:t>36 </w:t>
      </w:r>
      <w:r>
        <w:rPr/>
        <w:t>个拟进行优先审评药品品种名单。</w:t>
      </w:r>
    </w:p>
    <w:p>
      <w:pPr>
        <w:pStyle w:val="BodyText"/>
        <w:spacing w:line="297" w:lineRule="auto" w:before="71"/>
        <w:ind w:right="1127" w:firstLine="480"/>
      </w:pPr>
      <w:r>
        <w:rPr>
          <w:spacing w:val="-19"/>
        </w:rPr>
        <w:t>其中，宜昌人福药业有限责任公司注册申请的注射用苯磺酸瑞马唑仑、百济神州</w:t>
      </w:r>
      <w:r>
        <w:rPr/>
        <w:t>（苏州） </w:t>
      </w:r>
      <w:r>
        <w:rPr>
          <w:spacing w:val="-7"/>
        </w:rPr>
        <w:t>生物科技有限公司注册申请的赞布替尼胶囊、上海绿谷制药有限公司注册申请的甘露寡糖二</w:t>
      </w:r>
      <w:r>
        <w:rPr>
          <w:spacing w:val="-11"/>
        </w:rPr>
        <w:t>酸胶囊、正大天晴药业集团股份有限公司注册申请的盐酸安罗替尼胶囊、江苏恒瑞医药股份</w:t>
      </w:r>
      <w:r>
        <w:rPr>
          <w:spacing w:val="-3"/>
        </w:rPr>
        <w:t>有限公司注册申请的苯磺顺阿曲库铵注射液等 </w:t>
      </w:r>
      <w:r>
        <w:rPr>
          <w:rFonts w:ascii="Times New Roman" w:eastAsia="Times New Roman"/>
        </w:rPr>
        <w:t>23 </w:t>
      </w:r>
      <w:r>
        <w:rPr>
          <w:spacing w:val="-6"/>
        </w:rPr>
        <w:t>个品种公示截止日期为 </w:t>
      </w:r>
      <w:r>
        <w:rPr>
          <w:rFonts w:ascii="Times New Roman" w:eastAsia="Times New Roman"/>
        </w:rPr>
        <w:t>2018 </w:t>
      </w:r>
      <w:r>
        <w:rPr>
          <w:spacing w:val="-30"/>
        </w:rPr>
        <w:t>年 </w:t>
      </w:r>
      <w:r>
        <w:rPr>
          <w:rFonts w:ascii="Times New Roman" w:eastAsia="Times New Roman"/>
        </w:rPr>
        <w:t>12 </w:t>
      </w:r>
      <w:r>
        <w:rPr>
          <w:spacing w:val="-30"/>
        </w:rPr>
        <w:t>月 </w:t>
      </w:r>
      <w:r>
        <w:rPr>
          <w:rFonts w:ascii="Times New Roman" w:eastAsia="Times New Roman"/>
        </w:rPr>
        <w:t>29 </w:t>
      </w:r>
      <w:r>
        <w:rPr>
          <w:spacing w:val="-11"/>
        </w:rPr>
        <w:t>日；南京先声东元制药有限公司注册申请的依达拉奉右旋莰醇注射液、广东东阳光药业有限</w:t>
      </w:r>
    </w:p>
    <w:p>
      <w:pPr>
        <w:pStyle w:val="BodyText"/>
        <w:spacing w:line="295" w:lineRule="auto"/>
        <w:ind w:right="890"/>
      </w:pPr>
      <w:r>
        <w:rPr>
          <w:spacing w:val="-9"/>
        </w:rPr>
        <w:t>公司注册申请的奥氮平口崩片、浙江华海药业股份有限公司注册申请的替米沙坦氢氯噻嗪片、</w:t>
      </w:r>
      <w:r>
        <w:rPr>
          <w:spacing w:val="-11"/>
        </w:rPr>
        <w:t>卫材</w:t>
      </w:r>
      <w:r>
        <w:rPr/>
        <w:t>（中国</w:t>
      </w:r>
      <w:r>
        <w:rPr>
          <w:spacing w:val="-22"/>
        </w:rPr>
        <w:t>）</w:t>
      </w:r>
      <w:r>
        <w:rPr>
          <w:spacing w:val="-3"/>
        </w:rPr>
        <w:t>药业有限公司注册申请的吡仑帕奈片、吉利德</w:t>
      </w:r>
      <w:r>
        <w:rPr/>
        <w:t>（上海</w:t>
      </w:r>
      <w:r>
        <w:rPr>
          <w:spacing w:val="-20"/>
        </w:rPr>
        <w:t>）</w:t>
      </w:r>
      <w:r>
        <w:rPr/>
        <w:t>医药科技有限公司注册 申请的比克替拉韦</w:t>
      </w:r>
      <w:r>
        <w:rPr>
          <w:rFonts w:ascii="Times New Roman" w:eastAsia="Times New Roman"/>
        </w:rPr>
        <w:t>/</w:t>
      </w:r>
      <w:r>
        <w:rPr/>
        <w:t>恩曲他滨</w:t>
      </w:r>
      <w:r>
        <w:rPr>
          <w:rFonts w:ascii="Times New Roman" w:eastAsia="Times New Roman"/>
        </w:rPr>
        <w:t>/</w:t>
      </w:r>
      <w:r>
        <w:rPr>
          <w:spacing w:val="3"/>
        </w:rPr>
        <w:t>丙酚替诺福韦片等</w:t>
      </w:r>
      <w:r>
        <w:rPr>
          <w:rFonts w:ascii="Times New Roman" w:eastAsia="Times New Roman"/>
        </w:rPr>
        <w:t>13</w:t>
      </w:r>
      <w:r>
        <w:rPr>
          <w:rFonts w:ascii="Times New Roman" w:eastAsia="Times New Roman"/>
          <w:spacing w:val="-30"/>
        </w:rPr>
        <w:t> </w:t>
      </w:r>
      <w:r>
        <w:rPr>
          <w:spacing w:val="2"/>
        </w:rPr>
        <w:t>个品种公示截止日期为</w:t>
      </w:r>
      <w:r>
        <w:rPr>
          <w:rFonts w:ascii="Times New Roman" w:eastAsia="Times New Roman"/>
        </w:rPr>
        <w:t>2019</w:t>
      </w:r>
      <w:r>
        <w:rPr>
          <w:rFonts w:ascii="Times New Roman" w:eastAsia="Times New Roman"/>
          <w:spacing w:val="-29"/>
        </w:rPr>
        <w:t> </w:t>
      </w:r>
      <w:r>
        <w:rPr>
          <w:spacing w:val="31"/>
        </w:rPr>
        <w:t>年</w:t>
      </w:r>
      <w:r>
        <w:rPr>
          <w:rFonts w:ascii="Times New Roman" w:eastAsia="Times New Roman"/>
        </w:rPr>
        <w:t>1</w:t>
      </w:r>
      <w:r>
        <w:rPr>
          <w:rFonts w:ascii="Times New Roman" w:eastAsia="Times New Roman"/>
          <w:spacing w:val="-29"/>
        </w:rPr>
        <w:t> </w:t>
      </w:r>
      <w:r>
        <w:rPr>
          <w:spacing w:val="28"/>
        </w:rPr>
        <w:t>月</w:t>
      </w:r>
      <w:r>
        <w:rPr>
          <w:rFonts w:ascii="Times New Roman" w:eastAsia="Times New Roman"/>
        </w:rPr>
        <w:t>2</w:t>
      </w:r>
      <w:r>
        <w:rPr>
          <w:rFonts w:ascii="Times New Roman" w:eastAsia="Times New Roman"/>
          <w:spacing w:val="-32"/>
        </w:rPr>
        <w:t> </w:t>
      </w:r>
      <w:r>
        <w:rPr/>
        <w:t>日。</w:t>
      </w:r>
    </w:p>
    <w:p>
      <w:pPr>
        <w:pStyle w:val="BodyText"/>
        <w:spacing w:line="295" w:lineRule="auto" w:before="1"/>
        <w:ind w:right="1014" w:firstLine="480"/>
      </w:pPr>
      <w:r>
        <w:rPr>
          <w:rFonts w:ascii="Times New Roman" w:hAnsi="Times New Roman" w:eastAsia="Times New Roman"/>
        </w:rPr>
        <w:t>2016 </w:t>
      </w:r>
      <w:r>
        <w:rPr/>
        <w:t>年，原国家食品药品监管总局出台《关于解决药品注册申请积压实行优先审评审批的意见》，将多种情况纳入优先审评范围，其中包括防治艾滋病、肺结核、病毒性肝炎、罕见病、恶性肿瘤的药物以及儿童老人急需的</w:t>
      </w:r>
      <w:r>
        <w:rPr>
          <w:rFonts w:ascii="Calibri" w:hAnsi="Calibri" w:eastAsia="Calibri"/>
        </w:rPr>
        <w:t>“</w:t>
      </w:r>
      <w:r>
        <w:rPr/>
        <w:t>救命药</w:t>
      </w:r>
      <w:r>
        <w:rPr>
          <w:rFonts w:ascii="Calibri" w:hAnsi="Calibri" w:eastAsia="Calibri"/>
        </w:rPr>
        <w:t>”</w:t>
      </w:r>
      <w:r>
        <w:rPr/>
        <w:t>的注册申请。</w:t>
      </w:r>
    </w:p>
    <w:p>
      <w:pPr>
        <w:pStyle w:val="BodyText"/>
        <w:spacing w:line="295" w:lineRule="auto" w:before="5"/>
        <w:ind w:right="1128" w:firstLine="480"/>
      </w:pPr>
      <w:r>
        <w:rPr>
          <w:spacing w:val="-21"/>
        </w:rPr>
        <w:t>截至 </w:t>
      </w:r>
      <w:r>
        <w:rPr>
          <w:rFonts w:ascii="Times New Roman" w:hAnsi="Times New Roman" w:eastAsia="Times New Roman"/>
        </w:rPr>
        <w:t>2018 </w:t>
      </w:r>
      <w:r>
        <w:rPr>
          <w:spacing w:val="-30"/>
        </w:rPr>
        <w:t>年 </w:t>
      </w:r>
      <w:r>
        <w:rPr>
          <w:rFonts w:ascii="Times New Roman" w:hAnsi="Times New Roman" w:eastAsia="Times New Roman"/>
        </w:rPr>
        <w:t>8 </w:t>
      </w:r>
      <w:r>
        <w:rPr>
          <w:spacing w:val="-13"/>
        </w:rPr>
        <w:t>月，药审中心已公开发布 </w:t>
      </w:r>
      <w:r>
        <w:rPr>
          <w:rFonts w:ascii="Times New Roman" w:hAnsi="Times New Roman" w:eastAsia="Times New Roman"/>
        </w:rPr>
        <w:t>31 </w:t>
      </w:r>
      <w:r>
        <w:rPr>
          <w:spacing w:val="-30"/>
        </w:rPr>
        <w:t>批 </w:t>
      </w:r>
      <w:r>
        <w:rPr>
          <w:rFonts w:ascii="Times New Roman" w:hAnsi="Times New Roman" w:eastAsia="Times New Roman"/>
        </w:rPr>
        <w:t>410 </w:t>
      </w:r>
      <w:r>
        <w:rPr>
          <w:spacing w:val="-5"/>
        </w:rPr>
        <w:t>个列入优先审评审批的品种。这意味</w:t>
      </w:r>
      <w:r>
        <w:rPr/>
        <w:t>着，越来越多的临床</w:t>
      </w:r>
      <w:r>
        <w:rPr>
          <w:rFonts w:ascii="Calibri" w:hAnsi="Calibri" w:eastAsia="Calibri"/>
        </w:rPr>
        <w:t>“</w:t>
      </w:r>
      <w:r>
        <w:rPr/>
        <w:t>救命药</w:t>
      </w:r>
      <w:r>
        <w:rPr>
          <w:rFonts w:ascii="Calibri" w:hAnsi="Calibri" w:eastAsia="Calibri"/>
        </w:rPr>
        <w:t>”</w:t>
      </w:r>
      <w:r>
        <w:rPr/>
        <w:t>将通过优先审评渠道批准上市，应用于临床。</w:t>
      </w:r>
    </w:p>
    <w:p>
      <w:pPr>
        <w:pStyle w:val="BodyText"/>
        <w:spacing w:before="3"/>
        <w:ind w:left="0"/>
        <w:rPr>
          <w:sz w:val="18"/>
        </w:rPr>
      </w:pPr>
    </w:p>
    <w:p>
      <w:pPr>
        <w:pStyle w:val="Heading2"/>
        <w:spacing w:before="1"/>
        <w:ind w:left="1993"/>
      </w:pPr>
      <w:r>
        <w:rPr/>
        <w:t>阿扎那韦等 7 个过期 专利药尚无仿制申请</w:t>
      </w:r>
    </w:p>
    <w:p>
      <w:pPr>
        <w:pStyle w:val="Heading3"/>
        <w:spacing w:before="147"/>
        <w:ind w:left="7305"/>
      </w:pPr>
      <w:r>
        <w:rPr>
          <w:color w:val="FF0000"/>
        </w:rPr>
        <w:t>（来源：中国医药报）</w:t>
      </w:r>
    </w:p>
    <w:p>
      <w:pPr>
        <w:pStyle w:val="BodyText"/>
        <w:spacing w:line="297" w:lineRule="auto" w:before="96"/>
        <w:ind w:right="1128" w:firstLine="480"/>
      </w:pPr>
      <w:r>
        <w:rPr>
          <w:spacing w:val="-11"/>
        </w:rPr>
        <w:t>日前，药品审评中心发布通知，将阿扎那韦等 </w:t>
      </w:r>
      <w:r>
        <w:rPr>
          <w:rFonts w:ascii="Times New Roman" w:eastAsia="Times New Roman"/>
        </w:rPr>
        <w:t>7 </w:t>
      </w:r>
      <w:r>
        <w:rPr>
          <w:spacing w:val="-5"/>
        </w:rPr>
        <w:t>个专利到期的药品纳入《第二批专利权</w:t>
      </w:r>
      <w:r>
        <w:rPr/>
        <w:t>到期、终止、无效且尚无仿制申请的药品清单》。</w:t>
      </w:r>
    </w:p>
    <w:p>
      <w:pPr>
        <w:pStyle w:val="BodyText"/>
        <w:spacing w:line="297" w:lineRule="auto"/>
        <w:ind w:right="1128" w:firstLine="480"/>
      </w:pPr>
      <w:r>
        <w:rPr>
          <w:spacing w:val="-9"/>
        </w:rPr>
        <w:t>本次筛选出的 </w:t>
      </w:r>
      <w:r>
        <w:rPr>
          <w:rFonts w:ascii="Times New Roman" w:eastAsia="Times New Roman"/>
        </w:rPr>
        <w:t>7 </w:t>
      </w:r>
      <w:r>
        <w:rPr>
          <w:spacing w:val="-7"/>
        </w:rPr>
        <w:t>个药品分别为：美国 </w:t>
      </w:r>
      <w:r>
        <w:rPr>
          <w:rFonts w:ascii="Times New Roman" w:eastAsia="Times New Roman"/>
        </w:rPr>
        <w:t>Bristol-Myers Squibb </w:t>
      </w:r>
      <w:r>
        <w:rPr/>
        <w:t>公司研发的硫酸阿扎那韦， 用于治疗和预防艾滋病毒</w:t>
      </w:r>
      <w:r>
        <w:rPr>
          <w:rFonts w:ascii="Times New Roman" w:eastAsia="Times New Roman"/>
        </w:rPr>
        <w:t>/</w:t>
      </w:r>
      <w:r>
        <w:rPr>
          <w:spacing w:val="-9"/>
        </w:rPr>
        <w:t>艾滋病；美国 </w:t>
      </w:r>
      <w:r>
        <w:rPr>
          <w:rFonts w:ascii="Times New Roman" w:eastAsia="Times New Roman"/>
        </w:rPr>
        <w:t>Boehringer Ingelheim </w:t>
      </w:r>
      <w:r>
        <w:rPr/>
        <w:t>公司研发的替拉那韦，可与利</w:t>
      </w:r>
      <w:r>
        <w:rPr>
          <w:spacing w:val="-4"/>
        </w:rPr>
        <w:t>托那韦联合治疗艾滋病病毒感染；日本 </w:t>
      </w:r>
      <w:r>
        <w:rPr>
          <w:rFonts w:ascii="Times New Roman" w:eastAsia="Times New Roman"/>
        </w:rPr>
        <w:t>Otsuka </w:t>
      </w:r>
      <w:r>
        <w:rPr/>
        <w:t>公司研发的盐酸莫扎伐普坦，用于治疗低钠</w:t>
      </w:r>
      <w:r>
        <w:rPr>
          <w:spacing w:val="-12"/>
        </w:rPr>
        <w:t>血症；美国 </w:t>
      </w:r>
      <w:r>
        <w:rPr>
          <w:rFonts w:ascii="Times New Roman" w:eastAsia="Times New Roman"/>
        </w:rPr>
        <w:t>Mitsui Norin </w:t>
      </w:r>
      <w:r>
        <w:rPr>
          <w:spacing w:val="-5"/>
        </w:rPr>
        <w:t>公司研发的赛儿茶素，用于治疗生殖器疣；美国 </w:t>
      </w:r>
      <w:r>
        <w:rPr>
          <w:rFonts w:ascii="Times New Roman" w:eastAsia="Times New Roman"/>
        </w:rPr>
        <w:t>Novartis </w:t>
      </w:r>
      <w:r>
        <w:rPr>
          <w:spacing w:val="-3"/>
        </w:rPr>
        <w:t>公司研发</w:t>
      </w:r>
      <w:r>
        <w:rPr>
          <w:spacing w:val="-8"/>
        </w:rPr>
        <w:t>的半延胡索酸阿利吉仑，用于治疗肾素型高血压；美国 </w:t>
      </w:r>
      <w:r>
        <w:rPr>
          <w:rFonts w:ascii="Times New Roman" w:eastAsia="Times New Roman"/>
        </w:rPr>
        <w:t>Alcon </w:t>
      </w:r>
      <w:r>
        <w:rPr>
          <w:spacing w:val="-5"/>
        </w:rPr>
        <w:t>公司研发的非那沙星，用于治</w:t>
      </w:r>
      <w:r>
        <w:rPr>
          <w:spacing w:val="-8"/>
        </w:rPr>
        <w:t>疗由铜绿假单胞菌和金黄色葡萄球菌引起的急性外耳炎；美国 </w:t>
      </w:r>
      <w:r>
        <w:rPr>
          <w:rFonts w:ascii="Times New Roman" w:eastAsia="Times New Roman"/>
        </w:rPr>
        <w:t>Vanda </w:t>
      </w:r>
      <w:r>
        <w:rPr>
          <w:spacing w:val="-2"/>
        </w:rPr>
        <w:t>公司研发的他司美琼， </w:t>
      </w:r>
      <w:r>
        <w:rPr>
          <w:spacing w:val="-11"/>
        </w:rPr>
        <w:t>用于治疗非 </w:t>
      </w:r>
      <w:r>
        <w:rPr>
          <w:rFonts w:ascii="Times New Roman" w:eastAsia="Times New Roman"/>
        </w:rPr>
        <w:t>24 </w:t>
      </w:r>
      <w:r>
        <w:rPr/>
        <w:t>小时睡眠</w:t>
      </w:r>
      <w:r>
        <w:rPr>
          <w:rFonts w:ascii="Times New Roman" w:eastAsia="Times New Roman"/>
        </w:rPr>
        <w:t>-</w:t>
      </w:r>
      <w:r>
        <w:rPr/>
        <w:t>觉醒症。</w:t>
      </w:r>
    </w:p>
    <w:p>
      <w:pPr>
        <w:pStyle w:val="BodyText"/>
        <w:spacing w:line="297" w:lineRule="auto"/>
        <w:ind w:right="1126" w:firstLine="480"/>
        <w:jc w:val="both"/>
      </w:pPr>
      <w:r>
        <w:rPr>
          <w:spacing w:val="-10"/>
        </w:rPr>
        <w:t>药审中心相关工作人员表示，经检索国家专利数据，上述 </w:t>
      </w:r>
      <w:r>
        <w:rPr>
          <w:rFonts w:ascii="Times New Roman" w:eastAsia="Times New Roman"/>
        </w:rPr>
        <w:t>7 </w:t>
      </w:r>
      <w:r>
        <w:rPr>
          <w:spacing w:val="-10"/>
        </w:rPr>
        <w:t>个药品截至 </w:t>
      </w:r>
      <w:r>
        <w:rPr>
          <w:rFonts w:ascii="Times New Roman" w:eastAsia="Times New Roman"/>
        </w:rPr>
        <w:t>2018 </w:t>
      </w:r>
      <w:r>
        <w:rPr>
          <w:spacing w:val="-30"/>
        </w:rPr>
        <w:t>年 </w:t>
      </w:r>
      <w:r>
        <w:rPr>
          <w:rFonts w:ascii="Times New Roman" w:eastAsia="Times New Roman"/>
        </w:rPr>
        <w:t>10 </w:t>
      </w:r>
      <w:r>
        <w:rPr>
          <w:spacing w:val="-8"/>
        </w:rPr>
        <w:t>月未</w:t>
      </w:r>
      <w:r>
        <w:rPr>
          <w:spacing w:val="-7"/>
        </w:rPr>
        <w:t>发现国内有效的化合物专利。申请人如参考上述名单进行研发申报，应关注相关专利的最新</w:t>
      </w:r>
      <w:r>
        <w:rPr/>
        <w:t>情况，并在提交注册申请时提供不侵犯专利的声明。</w:t>
      </w:r>
    </w:p>
    <w:p>
      <w:pPr>
        <w:spacing w:after="0" w:line="297" w:lineRule="auto"/>
        <w:jc w:val="both"/>
        <w:sectPr>
          <w:type w:val="continuous"/>
          <w:pgSz w:w="11910" w:h="16850"/>
          <w:pgMar w:top="1080" w:bottom="1020" w:left="1060" w:right="0"/>
        </w:sectPr>
      </w:pPr>
    </w:p>
    <w:p>
      <w:pPr>
        <w:pStyle w:val="Heading2"/>
        <w:spacing w:line="395" w:lineRule="exact"/>
        <w:ind w:left="3037"/>
      </w:pPr>
      <w:r>
        <w:rPr>
          <w:spacing w:val="-2"/>
        </w:rPr>
        <w:t>反原料药价格垄断还需发力</w:t>
      </w:r>
    </w:p>
    <w:p>
      <w:pPr>
        <w:pStyle w:val="BodyText"/>
        <w:ind w:left="0"/>
        <w:rPr>
          <w:b/>
        </w:rPr>
      </w:pPr>
      <w:r>
        <w:rPr/>
        <w:br w:type="column"/>
      </w:r>
      <w:r>
        <w:rPr>
          <w:b/>
        </w:rPr>
      </w:r>
    </w:p>
    <w:p>
      <w:pPr>
        <w:pStyle w:val="BodyText"/>
        <w:spacing w:before="2"/>
        <w:ind w:left="0"/>
        <w:rPr>
          <w:b/>
          <w:sz w:val="18"/>
        </w:rPr>
      </w:pPr>
    </w:p>
    <w:p>
      <w:pPr>
        <w:pStyle w:val="Heading3"/>
        <w:ind w:left="857"/>
      </w:pPr>
      <w:r>
        <w:rPr>
          <w:color w:val="FF0000"/>
        </w:rPr>
        <w:t>（来源：健康报）</w:t>
      </w:r>
    </w:p>
    <w:p>
      <w:pPr>
        <w:spacing w:after="0"/>
        <w:sectPr>
          <w:pgSz w:w="11910" w:h="16850"/>
          <w:pgMar w:header="906" w:footer="531" w:top="1100" w:bottom="800" w:left="1060" w:right="0"/>
          <w:cols w:num="2" w:equalWidth="0">
            <w:col w:w="6891" w:space="40"/>
            <w:col w:w="3919"/>
          </w:cols>
        </w:sectPr>
      </w:pPr>
    </w:p>
    <w:p>
      <w:pPr>
        <w:pStyle w:val="BodyText"/>
        <w:spacing w:line="297" w:lineRule="auto" w:before="96"/>
        <w:ind w:right="1127" w:firstLine="480"/>
        <w:jc w:val="both"/>
      </w:pPr>
      <w:r>
        <w:rPr>
          <w:spacing w:val="-12"/>
        </w:rPr>
        <w:t>近日，国家市场监管总局发布公告称，湖南尔康医药经营有限公司与河南九势制药股份</w:t>
      </w:r>
      <w:r>
        <w:rPr>
          <w:spacing w:val="-7"/>
        </w:rPr>
        <w:t>有限公司滥用市场支配地位，导致扑尔敏原料药供应紧张，价格大幅上涨，国家市场监管总</w:t>
      </w:r>
      <w:r>
        <w:rPr>
          <w:spacing w:val="-5"/>
        </w:rPr>
        <w:t>局对两家涉案企业罚没共计 </w:t>
      </w:r>
      <w:r>
        <w:rPr>
          <w:rFonts w:ascii="Times New Roman" w:eastAsia="Times New Roman"/>
        </w:rPr>
        <w:t>1243.14 </w:t>
      </w:r>
      <w:r>
        <w:rPr>
          <w:spacing w:val="-8"/>
        </w:rPr>
        <w:t>万元。这一反垄断罚单的开出，对国内原料药垄断能够</w:t>
      </w:r>
      <w:r>
        <w:rPr/>
        <w:t>起到一定震慑遏制作用，但就现实而言，还需要更深入的举措。</w:t>
      </w:r>
    </w:p>
    <w:p>
      <w:pPr>
        <w:pStyle w:val="BodyText"/>
        <w:spacing w:line="297" w:lineRule="auto"/>
        <w:ind w:right="1127" w:firstLine="480"/>
        <w:jc w:val="both"/>
      </w:pPr>
      <w:r>
        <w:rPr>
          <w:spacing w:val="-11"/>
        </w:rPr>
        <w:t>首先，反垄断部门应该更加主动作为。自去年以来，有关总代理式垄断等原料药垄断涨</w:t>
      </w:r>
      <w:r>
        <w:rPr>
          <w:spacing w:val="-8"/>
        </w:rPr>
        <w:t>价的消息不绝于耳。不管是出于对消费者负责，还是回应媒体，相关主管部门都应对这些报</w:t>
      </w:r>
      <w:r>
        <w:rPr>
          <w:spacing w:val="-7"/>
        </w:rPr>
        <w:t>道所涉及的涉嫌垄断原料药品种，甚至国内所有价格不正常猛涨的原料药品种进行调查、核</w:t>
      </w:r>
      <w:r>
        <w:rPr>
          <w:spacing w:val="-12"/>
        </w:rPr>
        <w:t>实，并给出及时严肃处理，进行信息发布。前不久的冰醋酸原料药生产企业和此次的扑尔敏</w:t>
      </w:r>
      <w:r>
        <w:rPr/>
        <w:t>原料药生产企业被罚，开了一个好头。</w:t>
      </w:r>
    </w:p>
    <w:p>
      <w:pPr>
        <w:pStyle w:val="BodyText"/>
        <w:spacing w:line="297" w:lineRule="auto"/>
        <w:ind w:right="1128" w:firstLine="480"/>
      </w:pPr>
      <w:r>
        <w:rPr>
          <w:spacing w:val="-14"/>
        </w:rPr>
        <w:t>其次，应对垄断提价行为加大惩戒力度。此前被罚的 </w:t>
      </w:r>
      <w:r>
        <w:rPr>
          <w:rFonts w:ascii="Times New Roman" w:hAnsi="Times New Roman" w:eastAsia="Times New Roman"/>
        </w:rPr>
        <w:t>3 </w:t>
      </w:r>
      <w:r>
        <w:rPr>
          <w:spacing w:val="-2"/>
        </w:rPr>
        <w:t>家冰醋酸原料药生产企业的垄断</w:t>
      </w:r>
      <w:r>
        <w:rPr>
          <w:spacing w:val="-3"/>
        </w:rPr>
        <w:t>手段和性质是极其恶劣的，但最终处理结果，仅是对其处以上一年度营销额 </w:t>
      </w:r>
      <w:r>
        <w:rPr>
          <w:rFonts w:ascii="Times New Roman" w:hAnsi="Times New Roman" w:eastAsia="Times New Roman"/>
        </w:rPr>
        <w:t>4%</w:t>
      </w:r>
      <w:r>
        <w:rPr>
          <w:spacing w:val="-4"/>
        </w:rPr>
        <w:t>的罚款和没</w:t>
      </w:r>
      <w:r>
        <w:rPr>
          <w:spacing w:val="-2"/>
        </w:rPr>
        <w:t>收违法所得等。这与《反垄断法》《价格法》等规定的可处上一年度营销额 </w:t>
      </w:r>
      <w:r>
        <w:rPr>
          <w:rFonts w:ascii="Times New Roman" w:hAnsi="Times New Roman" w:eastAsia="Times New Roman"/>
        </w:rPr>
        <w:t>10%</w:t>
      </w:r>
      <w:r>
        <w:rPr/>
        <w:t>上限的罚款，同时处以停业整顿、吊销营业执照等相比，仍过于“温柔”，震慑效力相对有限。</w:t>
      </w:r>
    </w:p>
    <w:p>
      <w:pPr>
        <w:pStyle w:val="BodyText"/>
        <w:spacing w:line="297" w:lineRule="auto"/>
        <w:ind w:right="1127" w:firstLine="480"/>
        <w:jc w:val="both"/>
      </w:pPr>
      <w:r>
        <w:rPr>
          <w:spacing w:val="-9"/>
        </w:rPr>
        <w:t>再次，清理垄断形成的土壤——原料药许可制度，才能治本。据报道，目前在原料药许</w:t>
      </w:r>
      <w:r>
        <w:rPr>
          <w:spacing w:val="-13"/>
        </w:rPr>
        <w:t>可制度下，我国成品药有 </w:t>
      </w:r>
      <w:r>
        <w:rPr>
          <w:rFonts w:ascii="Times New Roman" w:hAnsi="Times New Roman" w:eastAsia="Times New Roman"/>
        </w:rPr>
        <w:t>1500 </w:t>
      </w:r>
      <w:r>
        <w:rPr>
          <w:spacing w:val="-16"/>
        </w:rPr>
        <w:t>种原料药，其中 </w:t>
      </w:r>
      <w:r>
        <w:rPr>
          <w:rFonts w:ascii="Times New Roman" w:hAnsi="Times New Roman" w:eastAsia="Times New Roman"/>
        </w:rPr>
        <w:t>50 </w:t>
      </w:r>
      <w:r>
        <w:rPr>
          <w:spacing w:val="-9"/>
        </w:rPr>
        <w:t>种原料药只有 </w:t>
      </w:r>
      <w:r>
        <w:rPr>
          <w:rFonts w:ascii="Times New Roman" w:hAnsi="Times New Roman" w:eastAsia="Times New Roman"/>
        </w:rPr>
        <w:t>1 </w:t>
      </w:r>
      <w:r>
        <w:rPr>
          <w:spacing w:val="-2"/>
        </w:rPr>
        <w:t>家企业取得审批资格可以</w:t>
      </w:r>
      <w:r>
        <w:rPr/>
        <w:t>生产，</w:t>
      </w:r>
      <w:r>
        <w:rPr>
          <w:rFonts w:ascii="Times New Roman" w:hAnsi="Times New Roman" w:eastAsia="Times New Roman"/>
        </w:rPr>
        <w:t>44 </w:t>
      </w:r>
      <w:r>
        <w:rPr/>
        <w:t>种原料药只有两家企业可以生产，</w:t>
      </w:r>
      <w:r>
        <w:rPr>
          <w:rFonts w:ascii="Times New Roman" w:hAnsi="Times New Roman" w:eastAsia="Times New Roman"/>
        </w:rPr>
        <w:t>40 </w:t>
      </w:r>
      <w:r>
        <w:rPr>
          <w:spacing w:val="-9"/>
        </w:rPr>
        <w:t>种原料药只有 </w:t>
      </w:r>
      <w:r>
        <w:rPr>
          <w:rFonts w:ascii="Times New Roman" w:hAnsi="Times New Roman" w:eastAsia="Times New Roman"/>
        </w:rPr>
        <w:t>3 </w:t>
      </w:r>
      <w:r>
        <w:rPr/>
        <w:t>家企业可以生产。原料药生产厂家少，容易使原料药形成垄断，进而影响上下游相关药价。</w:t>
      </w:r>
    </w:p>
    <w:p>
      <w:pPr>
        <w:pStyle w:val="BodyText"/>
        <w:spacing w:line="297" w:lineRule="auto"/>
        <w:ind w:right="1130" w:firstLine="480"/>
        <w:jc w:val="both"/>
      </w:pPr>
      <w:r>
        <w:rPr>
          <w:spacing w:val="-10"/>
        </w:rPr>
        <w:t>近期，国家反垄断部门出手，连续开出原料药价格反垄断罚单，表明了严管态度，但这</w:t>
      </w:r>
      <w:r>
        <w:rPr>
          <w:spacing w:val="-21"/>
        </w:rPr>
        <w:t>远远不够。接下来，执法部门应抓住主要矛盾，在反垄断执法上更主动些，执法力度更大些， </w:t>
      </w:r>
      <w:r>
        <w:rPr/>
        <w:t>才能从根上杜绝原料药价格垄断再现。</w:t>
      </w:r>
    </w:p>
    <w:p>
      <w:pPr>
        <w:pStyle w:val="Heading2"/>
        <w:spacing w:before="205"/>
      </w:pPr>
      <w:r>
        <w:rPr/>
        <w:t>【医保信息】</w:t>
      </w:r>
    </w:p>
    <w:p>
      <w:pPr>
        <w:pStyle w:val="BodyText"/>
        <w:spacing w:before="6"/>
        <w:ind w:left="0"/>
        <w:rPr>
          <w:b/>
          <w:sz w:val="18"/>
        </w:rPr>
      </w:pPr>
    </w:p>
    <w:p>
      <w:pPr>
        <w:spacing w:after="0"/>
        <w:rPr>
          <w:sz w:val="18"/>
        </w:rPr>
        <w:sectPr>
          <w:type w:val="continuous"/>
          <w:pgSz w:w="11910" w:h="16850"/>
          <w:pgMar w:top="1080" w:bottom="1020" w:left="1060" w:right="0"/>
        </w:sectPr>
      </w:pPr>
    </w:p>
    <w:p>
      <w:pPr>
        <w:spacing w:before="55"/>
        <w:ind w:left="2956" w:right="0" w:firstLine="0"/>
        <w:jc w:val="left"/>
        <w:rPr>
          <w:b/>
          <w:sz w:val="32"/>
        </w:rPr>
      </w:pPr>
      <w:r>
        <w:rPr>
          <w:b/>
          <w:spacing w:val="-10"/>
          <w:sz w:val="32"/>
        </w:rPr>
        <w:t>浙江追回医保基金 </w:t>
      </w:r>
      <w:r>
        <w:rPr>
          <w:b/>
          <w:sz w:val="32"/>
        </w:rPr>
        <w:t>1279</w:t>
      </w:r>
      <w:r>
        <w:rPr>
          <w:b/>
          <w:spacing w:val="-33"/>
          <w:sz w:val="32"/>
        </w:rPr>
        <w:t> 万元</w:t>
      </w:r>
    </w:p>
    <w:p>
      <w:pPr>
        <w:pStyle w:val="BodyText"/>
        <w:ind w:left="0"/>
        <w:rPr>
          <w:b/>
        </w:rPr>
      </w:pPr>
      <w:r>
        <w:rPr/>
        <w:br w:type="column"/>
      </w:r>
      <w:r>
        <w:rPr>
          <w:b/>
        </w:rPr>
      </w:r>
    </w:p>
    <w:p>
      <w:pPr>
        <w:pStyle w:val="BodyText"/>
        <w:spacing w:before="10"/>
        <w:ind w:left="0"/>
        <w:rPr>
          <w:b/>
          <w:sz w:val="23"/>
        </w:rPr>
      </w:pPr>
    </w:p>
    <w:p>
      <w:pPr>
        <w:pStyle w:val="Heading3"/>
        <w:ind w:left="771"/>
      </w:pPr>
      <w:r>
        <w:rPr>
          <w:color w:val="FF0000"/>
        </w:rPr>
        <w:t>（来源：健康报）</w:t>
      </w:r>
    </w:p>
    <w:p>
      <w:pPr>
        <w:spacing w:after="0"/>
        <w:sectPr>
          <w:type w:val="continuous"/>
          <w:pgSz w:w="11910" w:h="16850"/>
          <w:pgMar w:top="1080" w:bottom="1020" w:left="1060" w:right="0"/>
          <w:cols w:num="2" w:equalWidth="0">
            <w:col w:w="6977" w:space="40"/>
            <w:col w:w="3833"/>
          </w:cols>
        </w:sectPr>
      </w:pPr>
    </w:p>
    <w:p>
      <w:pPr>
        <w:pStyle w:val="BodyText"/>
        <w:spacing w:before="96"/>
        <w:ind w:left="697"/>
      </w:pPr>
      <w:r>
        <w:rPr/>
        <w:t>近日，浙江省医疗保障局公布，去年 </w:t>
      </w:r>
      <w:r>
        <w:rPr>
          <w:rFonts w:ascii="Times New Roman" w:eastAsia="Times New Roman"/>
        </w:rPr>
        <w:t>9 </w:t>
      </w:r>
      <w:r>
        <w:rPr/>
        <w:t>月份启动全省打击欺诈骗取医疗保险基金专项行</w:t>
      </w:r>
    </w:p>
    <w:p>
      <w:pPr>
        <w:pStyle w:val="BodyText"/>
        <w:spacing w:before="74"/>
      </w:pPr>
      <w:r>
        <w:rPr/>
        <w:t>动以来，共追回医保基金 </w:t>
      </w:r>
      <w:r>
        <w:rPr>
          <w:rFonts w:ascii="Times New Roman" w:eastAsia="Times New Roman"/>
        </w:rPr>
        <w:t>1279.66 </w:t>
      </w:r>
      <w:r>
        <w:rPr/>
        <w:t>万元。</w:t>
      </w:r>
    </w:p>
    <w:p>
      <w:pPr>
        <w:pStyle w:val="BodyText"/>
        <w:spacing w:line="297" w:lineRule="auto" w:before="72"/>
        <w:ind w:right="1014" w:firstLine="480"/>
      </w:pPr>
      <w:r>
        <w:rPr>
          <w:spacing w:val="-9"/>
        </w:rPr>
        <w:t>据介绍，此次浙江各地开展的专项行动，集中打击以下骗保行为：一是针对定点医疗机</w:t>
      </w:r>
      <w:r>
        <w:rPr>
          <w:spacing w:val="-10"/>
        </w:rPr>
        <w:t>构，重点查处诱导参保人员住院、盗刷和冒用参保人员社会保障卡、伪造医疗文书或票据、</w:t>
      </w:r>
      <w:r>
        <w:rPr>
          <w:spacing w:val="-6"/>
        </w:rPr>
        <w:t>协助参保人员套取医保基金、虚记或多记医疗服务费用等行为。二是针对定点零售药店，重</w:t>
      </w:r>
      <w:r>
        <w:rPr>
          <w:spacing w:val="-12"/>
        </w:rPr>
        <w:t>点查处串换药品、刷卡套取基金等行为。三是针对参保人员，重点查处通过票据作假骗取基金等行为。</w:t>
      </w:r>
    </w:p>
    <w:p>
      <w:pPr>
        <w:pStyle w:val="BodyText"/>
        <w:spacing w:line="302" w:lineRule="exact"/>
        <w:ind w:left="697"/>
        <w:rPr>
          <w:rFonts w:ascii="Times New Roman" w:eastAsia="Times New Roman"/>
        </w:rPr>
      </w:pPr>
      <w:r>
        <w:rPr/>
        <w:t>浙江省定点医疗机构共 </w:t>
      </w:r>
      <w:r>
        <w:rPr>
          <w:rFonts w:ascii="Times New Roman" w:eastAsia="Times New Roman"/>
        </w:rPr>
        <w:t>9043 </w:t>
      </w:r>
      <w:r>
        <w:rPr/>
        <w:t>家，此次检查 </w:t>
      </w:r>
      <w:r>
        <w:rPr>
          <w:rFonts w:ascii="Times New Roman" w:eastAsia="Times New Roman"/>
        </w:rPr>
        <w:t>3235 </w:t>
      </w:r>
      <w:r>
        <w:rPr/>
        <w:t>家，查处 </w:t>
      </w:r>
      <w:r>
        <w:rPr>
          <w:rFonts w:ascii="Times New Roman" w:eastAsia="Times New Roman"/>
        </w:rPr>
        <w:t>759 </w:t>
      </w:r>
      <w:r>
        <w:rPr/>
        <w:t>家，其中限期整改 </w:t>
      </w:r>
      <w:r>
        <w:rPr>
          <w:rFonts w:ascii="Times New Roman" w:eastAsia="Times New Roman"/>
        </w:rPr>
        <w:t>484</w:t>
      </w:r>
    </w:p>
    <w:p>
      <w:pPr>
        <w:pStyle w:val="BodyText"/>
        <w:spacing w:before="71"/>
      </w:pPr>
      <w:r>
        <w:rPr>
          <w:spacing w:val="-7"/>
        </w:rPr>
        <w:t>家，暂停医保服务 </w:t>
      </w:r>
      <w:r>
        <w:rPr>
          <w:rFonts w:ascii="Times New Roman" w:eastAsia="Times New Roman"/>
        </w:rPr>
        <w:t>154 </w:t>
      </w:r>
      <w:r>
        <w:rPr>
          <w:spacing w:val="-6"/>
        </w:rPr>
        <w:t>家，解除医保服务协议 </w:t>
      </w:r>
      <w:r>
        <w:rPr>
          <w:rFonts w:ascii="Times New Roman" w:eastAsia="Times New Roman"/>
        </w:rPr>
        <w:t>16 </w:t>
      </w:r>
      <w:r>
        <w:rPr>
          <w:spacing w:val="-9"/>
        </w:rPr>
        <w:t>家，行政处罚 </w:t>
      </w:r>
      <w:r>
        <w:rPr>
          <w:rFonts w:ascii="Times New Roman" w:eastAsia="Times New Roman"/>
        </w:rPr>
        <w:t>2 </w:t>
      </w:r>
      <w:r>
        <w:rPr>
          <w:spacing w:val="-7"/>
        </w:rPr>
        <w:t>家，移送司法机关 </w:t>
      </w:r>
      <w:r>
        <w:rPr>
          <w:rFonts w:ascii="Times New Roman" w:eastAsia="Times New Roman"/>
        </w:rPr>
        <w:t>3 </w:t>
      </w:r>
      <w:r>
        <w:rPr/>
        <w:t>家，</w:t>
      </w:r>
    </w:p>
    <w:p>
      <w:pPr>
        <w:pStyle w:val="BodyText"/>
        <w:spacing w:before="72"/>
        <w:rPr>
          <w:rFonts w:ascii="Times New Roman" w:eastAsia="Times New Roman"/>
        </w:rPr>
      </w:pPr>
      <w:r>
        <w:rPr>
          <w:spacing w:val="-9"/>
        </w:rPr>
        <w:t>追回医保基金 </w:t>
      </w:r>
      <w:r>
        <w:rPr>
          <w:rFonts w:ascii="Times New Roman" w:eastAsia="Times New Roman"/>
        </w:rPr>
        <w:t>1029.88 </w:t>
      </w:r>
      <w:r>
        <w:rPr>
          <w:spacing w:val="-10"/>
        </w:rPr>
        <w:t>万元；浙江省定点零售药店共 </w:t>
      </w:r>
      <w:r>
        <w:rPr>
          <w:rFonts w:ascii="Times New Roman" w:eastAsia="Times New Roman"/>
        </w:rPr>
        <w:t>10952 </w:t>
      </w:r>
      <w:r>
        <w:rPr>
          <w:spacing w:val="-15"/>
        </w:rPr>
        <w:t>家，此次检查 </w:t>
      </w:r>
      <w:r>
        <w:rPr>
          <w:rFonts w:ascii="Times New Roman" w:eastAsia="Times New Roman"/>
        </w:rPr>
        <w:t>3781 </w:t>
      </w:r>
      <w:r>
        <w:rPr>
          <w:spacing w:val="-20"/>
        </w:rPr>
        <w:t>家，查处 </w:t>
      </w:r>
      <w:r>
        <w:rPr>
          <w:rFonts w:ascii="Times New Roman" w:eastAsia="Times New Roman"/>
        </w:rPr>
        <w:t>678</w:t>
      </w:r>
    </w:p>
    <w:p>
      <w:pPr>
        <w:pStyle w:val="BodyText"/>
        <w:spacing w:before="74"/>
        <w:rPr>
          <w:rFonts w:ascii="Times New Roman" w:eastAsia="Times New Roman"/>
        </w:rPr>
      </w:pPr>
      <w:r>
        <w:rPr/>
        <w:t>家，其中限期整改 </w:t>
      </w:r>
      <w:r>
        <w:rPr>
          <w:rFonts w:ascii="Times New Roman" w:eastAsia="Times New Roman"/>
        </w:rPr>
        <w:t>386 </w:t>
      </w:r>
      <w:r>
        <w:rPr/>
        <w:t>家，暂停医保服务 </w:t>
      </w:r>
      <w:r>
        <w:rPr>
          <w:rFonts w:ascii="Times New Roman" w:eastAsia="Times New Roman"/>
        </w:rPr>
        <w:t>192 </w:t>
      </w:r>
      <w:r>
        <w:rPr/>
        <w:t>家，解除医保服务协议 </w:t>
      </w:r>
      <w:r>
        <w:rPr>
          <w:rFonts w:ascii="Times New Roman" w:eastAsia="Times New Roman"/>
        </w:rPr>
        <w:t>40 </w:t>
      </w:r>
      <w:r>
        <w:rPr/>
        <w:t>家，行政处罚 </w:t>
      </w:r>
      <w:r>
        <w:rPr>
          <w:rFonts w:ascii="Times New Roman" w:eastAsia="Times New Roman"/>
        </w:rPr>
        <w:t>10</w:t>
      </w:r>
    </w:p>
    <w:p>
      <w:pPr>
        <w:spacing w:after="0"/>
        <w:rPr>
          <w:rFonts w:ascii="Times New Roman" w:eastAsia="Times New Roman"/>
        </w:rPr>
        <w:sectPr>
          <w:type w:val="continuous"/>
          <w:pgSz w:w="11910" w:h="16850"/>
          <w:pgMar w:top="1080" w:bottom="1020" w:left="1060" w:right="0"/>
        </w:sectPr>
      </w:pPr>
    </w:p>
    <w:p>
      <w:pPr>
        <w:pStyle w:val="BodyText"/>
        <w:spacing w:line="295" w:lineRule="auto" w:before="65"/>
        <w:ind w:right="1126"/>
        <w:jc w:val="both"/>
      </w:pPr>
      <w:r>
        <w:rPr>
          <w:spacing w:val="-10"/>
        </w:rPr>
        <w:t>家，移送司法机关 </w:t>
      </w:r>
      <w:r>
        <w:rPr>
          <w:rFonts w:ascii="Times New Roman" w:eastAsia="Times New Roman"/>
        </w:rPr>
        <w:t>2 </w:t>
      </w:r>
      <w:r>
        <w:rPr>
          <w:spacing w:val="-10"/>
        </w:rPr>
        <w:t>家，追回医保基金 </w:t>
      </w:r>
      <w:r>
        <w:rPr>
          <w:rFonts w:ascii="Times New Roman" w:eastAsia="Times New Roman"/>
        </w:rPr>
        <w:t>127.07 </w:t>
      </w:r>
      <w:r>
        <w:rPr>
          <w:spacing w:val="-10"/>
        </w:rPr>
        <w:t>万元。此外，浙江省完成 </w:t>
      </w:r>
      <w:r>
        <w:rPr>
          <w:rFonts w:ascii="Times New Roman" w:eastAsia="Times New Roman"/>
        </w:rPr>
        <w:t>9000 </w:t>
      </w:r>
      <w:r>
        <w:rPr>
          <w:spacing w:val="-3"/>
        </w:rPr>
        <w:t>余人次大额票</w:t>
      </w:r>
      <w:r>
        <w:rPr>
          <w:spacing w:val="-21"/>
        </w:rPr>
        <w:t>据的复查核实工作，并结合智能监控数据，对反复轻症住院病人，抽查一段时间内住院病历， </w:t>
      </w:r>
      <w:r>
        <w:rPr>
          <w:spacing w:val="-23"/>
        </w:rPr>
        <w:t>对比前后病史、检查、化验资料的一致性。通过检查，共处理参保人员 </w:t>
      </w:r>
      <w:r>
        <w:rPr>
          <w:rFonts w:ascii="Times New Roman" w:eastAsia="Times New Roman"/>
        </w:rPr>
        <w:t>657 </w:t>
      </w:r>
      <w:r>
        <w:rPr/>
        <w:t>人，其中约谈</w:t>
      </w:r>
    </w:p>
    <w:p>
      <w:pPr>
        <w:pStyle w:val="BodyText"/>
        <w:spacing w:before="5"/>
        <w:jc w:val="both"/>
      </w:pPr>
      <w:r>
        <w:rPr>
          <w:rFonts w:ascii="Times New Roman" w:eastAsia="Times New Roman"/>
        </w:rPr>
        <w:t>549 </w:t>
      </w:r>
      <w:r>
        <w:rPr/>
        <w:t>人，暂停医保卡结算 </w:t>
      </w:r>
      <w:r>
        <w:rPr>
          <w:rFonts w:ascii="Times New Roman" w:eastAsia="Times New Roman"/>
        </w:rPr>
        <w:t>78 </w:t>
      </w:r>
      <w:r>
        <w:rPr/>
        <w:t>人，行政处罚 </w:t>
      </w:r>
      <w:r>
        <w:rPr>
          <w:rFonts w:ascii="Times New Roman" w:eastAsia="Times New Roman"/>
        </w:rPr>
        <w:t>4 </w:t>
      </w:r>
      <w:r>
        <w:rPr/>
        <w:t>人，移交司法机关 </w:t>
      </w:r>
      <w:r>
        <w:rPr>
          <w:rFonts w:ascii="Times New Roman" w:eastAsia="Times New Roman"/>
        </w:rPr>
        <w:t>19 </w:t>
      </w:r>
      <w:r>
        <w:rPr/>
        <w:t>人，拒付告诫等处理 </w:t>
      </w:r>
      <w:r>
        <w:rPr>
          <w:rFonts w:ascii="Times New Roman" w:eastAsia="Times New Roman"/>
        </w:rPr>
        <w:t>7 </w:t>
      </w:r>
      <w:r>
        <w:rPr/>
        <w:t>人，</w:t>
      </w:r>
    </w:p>
    <w:p>
      <w:pPr>
        <w:pStyle w:val="BodyText"/>
        <w:spacing w:before="72"/>
        <w:jc w:val="both"/>
      </w:pPr>
      <w:r>
        <w:rPr/>
        <w:t>追回骗取医保基金 </w:t>
      </w:r>
      <w:r>
        <w:rPr>
          <w:rFonts w:ascii="Times New Roman" w:eastAsia="Times New Roman"/>
        </w:rPr>
        <w:t>122.71 </w:t>
      </w:r>
      <w:r>
        <w:rPr/>
        <w:t>万元。</w:t>
      </w:r>
    </w:p>
    <w:p>
      <w:pPr>
        <w:pStyle w:val="BodyText"/>
        <w:spacing w:before="6"/>
        <w:ind w:left="0"/>
        <w:rPr>
          <w:sz w:val="19"/>
        </w:rPr>
      </w:pPr>
    </w:p>
    <w:p>
      <w:pPr>
        <w:spacing w:after="0"/>
        <w:rPr>
          <w:sz w:val="19"/>
        </w:rPr>
        <w:sectPr>
          <w:pgSz w:w="11910" w:h="16850"/>
          <w:pgMar w:header="906" w:footer="531" w:top="1100" w:bottom="800" w:left="1060" w:right="0"/>
        </w:sectPr>
      </w:pPr>
    </w:p>
    <w:p>
      <w:pPr>
        <w:pStyle w:val="Heading2"/>
        <w:spacing w:before="54"/>
        <w:ind w:left="3037"/>
      </w:pPr>
      <w:r>
        <w:rPr>
          <w:spacing w:val="-2"/>
        </w:rPr>
        <w:t>重庆将上市仿制药纳入医保</w:t>
      </w:r>
    </w:p>
    <w:p>
      <w:pPr>
        <w:pStyle w:val="BodyText"/>
        <w:ind w:left="0"/>
        <w:rPr>
          <w:b/>
        </w:rPr>
      </w:pPr>
      <w:r>
        <w:rPr/>
        <w:br w:type="column"/>
      </w:r>
      <w:r>
        <w:rPr>
          <w:b/>
        </w:rPr>
      </w:r>
    </w:p>
    <w:p>
      <w:pPr>
        <w:pStyle w:val="BodyText"/>
        <w:spacing w:before="9"/>
        <w:ind w:left="0"/>
        <w:rPr>
          <w:b/>
          <w:sz w:val="23"/>
        </w:rPr>
      </w:pPr>
    </w:p>
    <w:p>
      <w:pPr>
        <w:pStyle w:val="Heading3"/>
        <w:spacing w:before="1"/>
        <w:ind w:left="857"/>
      </w:pPr>
      <w:r>
        <w:rPr>
          <w:color w:val="FF0000"/>
        </w:rPr>
        <w:t>（来源：健康报）</w:t>
      </w:r>
    </w:p>
    <w:p>
      <w:pPr>
        <w:spacing w:after="0"/>
        <w:sectPr>
          <w:type w:val="continuous"/>
          <w:pgSz w:w="11910" w:h="16850"/>
          <w:pgMar w:top="1080" w:bottom="1020" w:left="1060" w:right="0"/>
          <w:cols w:num="2" w:equalWidth="0">
            <w:col w:w="6891" w:space="40"/>
            <w:col w:w="3919"/>
          </w:cols>
        </w:sectPr>
      </w:pPr>
    </w:p>
    <w:p>
      <w:pPr>
        <w:pStyle w:val="BodyText"/>
        <w:spacing w:line="297" w:lineRule="auto" w:before="95"/>
        <w:ind w:right="1127" w:firstLine="480"/>
        <w:jc w:val="both"/>
      </w:pPr>
      <w:r>
        <w:rPr>
          <w:spacing w:val="-12"/>
        </w:rPr>
        <w:t>近日，重庆市人民政府办公厅印发《重庆市改革完善仿制药供应保障及使用政策实施方</w:t>
      </w:r>
      <w:r>
        <w:rPr/>
        <w:t>案》指出，将及时更新医保信息系统，确保批准上市的仿制药同等纳入医保支付范围。</w:t>
      </w:r>
    </w:p>
    <w:p>
      <w:pPr>
        <w:pStyle w:val="BodyText"/>
        <w:spacing w:line="297" w:lineRule="auto"/>
        <w:ind w:right="1127" w:firstLine="480"/>
        <w:jc w:val="both"/>
      </w:pPr>
      <w:r>
        <w:rPr>
          <w:spacing w:val="-12"/>
        </w:rPr>
        <w:t>按照《方案》，重庆鼓励仿制临床必需、疗效确切、供应短缺的药品，鼓励仿制重大传</w:t>
      </w:r>
      <w:r>
        <w:rPr>
          <w:spacing w:val="-7"/>
        </w:rPr>
        <w:t>染病防治和罕见病治疗所需药品、处置突发公共卫生事件所需药品、儿童使用药品以及专利</w:t>
      </w:r>
      <w:r>
        <w:rPr>
          <w:spacing w:val="-6"/>
        </w:rPr>
        <w:t>到期前一年尚未提出注册申请的药品。支持具备条件的医疗机构、高等院校、科研机构和社</w:t>
      </w:r>
      <w:r>
        <w:rPr/>
        <w:t>会办检验检测机构参与一致性评价工作。</w:t>
      </w:r>
    </w:p>
    <w:p>
      <w:pPr>
        <w:pStyle w:val="BodyText"/>
        <w:spacing w:before="5"/>
        <w:ind w:left="0"/>
        <w:rPr>
          <w:sz w:val="17"/>
        </w:rPr>
      </w:pPr>
    </w:p>
    <w:p>
      <w:pPr>
        <w:pStyle w:val="Heading2"/>
      </w:pPr>
      <w:bookmarkStart w:name="_TOC_250044" w:id="1"/>
      <w:bookmarkEnd w:id="1"/>
      <w:r>
        <w:rPr/>
        <w:t>【医改新政】</w:t>
      </w:r>
    </w:p>
    <w:p>
      <w:pPr>
        <w:pStyle w:val="BodyText"/>
        <w:spacing w:before="6"/>
        <w:ind w:left="0"/>
        <w:rPr>
          <w:b/>
          <w:sz w:val="18"/>
        </w:rPr>
      </w:pPr>
    </w:p>
    <w:p>
      <w:pPr>
        <w:spacing w:after="0"/>
        <w:rPr>
          <w:sz w:val="18"/>
        </w:rPr>
        <w:sectPr>
          <w:type w:val="continuous"/>
          <w:pgSz w:w="11910" w:h="16850"/>
          <w:pgMar w:top="1080" w:bottom="1020" w:left="1060" w:right="0"/>
        </w:sectPr>
      </w:pPr>
    </w:p>
    <w:p>
      <w:pPr>
        <w:pStyle w:val="Heading2"/>
        <w:spacing w:before="54"/>
        <w:ind w:left="3198"/>
      </w:pPr>
      <w:bookmarkStart w:name="_TOC_250043" w:id="2"/>
      <w:bookmarkEnd w:id="2"/>
      <w:r>
        <w:rPr>
          <w:spacing w:val="-2"/>
        </w:rPr>
        <w:t>博鳌获临床用药“特权”</w:t>
      </w:r>
    </w:p>
    <w:p>
      <w:pPr>
        <w:pStyle w:val="BodyText"/>
        <w:ind w:left="0"/>
        <w:rPr>
          <w:b/>
        </w:rPr>
      </w:pPr>
      <w:r>
        <w:rPr/>
        <w:br w:type="column"/>
      </w:r>
      <w:r>
        <w:rPr>
          <w:b/>
        </w:rPr>
      </w:r>
    </w:p>
    <w:p>
      <w:pPr>
        <w:pStyle w:val="BodyText"/>
        <w:spacing w:before="10"/>
        <w:ind w:left="0"/>
        <w:rPr>
          <w:b/>
          <w:sz w:val="23"/>
        </w:rPr>
      </w:pPr>
    </w:p>
    <w:p>
      <w:pPr>
        <w:pStyle w:val="Heading3"/>
        <w:ind w:left="1017"/>
      </w:pPr>
      <w:r>
        <w:rPr>
          <w:color w:val="FF0000"/>
        </w:rPr>
        <w:t>（来源：健康报）</w:t>
      </w:r>
    </w:p>
    <w:p>
      <w:pPr>
        <w:spacing w:after="0"/>
        <w:sectPr>
          <w:type w:val="continuous"/>
          <w:pgSz w:w="11910" w:h="16850"/>
          <w:pgMar w:top="1080" w:bottom="1020" w:left="1060" w:right="0"/>
          <w:cols w:num="2" w:equalWidth="0">
            <w:col w:w="6730" w:space="40"/>
            <w:col w:w="4080"/>
          </w:cols>
        </w:sectPr>
      </w:pPr>
    </w:p>
    <w:p>
      <w:pPr>
        <w:pStyle w:val="BodyText"/>
        <w:spacing w:line="297" w:lineRule="auto" w:before="96"/>
        <w:ind w:right="1130" w:firstLine="480"/>
        <w:jc w:val="both"/>
      </w:pPr>
      <w:r>
        <w:rPr>
          <w:spacing w:val="-11"/>
        </w:rPr>
        <w:t>近日，国务院发布《关于在海南博鳌乐城国际医疗旅游先行区暂时调整实施〈中华人民</w:t>
      </w:r>
      <w:r>
        <w:rPr>
          <w:spacing w:val="-8"/>
        </w:rPr>
        <w:t>共和国药品管理法实施条例〉有关规定的决定》明确，先行区内医疗机构因临床急需进口少</w:t>
      </w:r>
      <w:r>
        <w:rPr>
          <w:spacing w:val="-9"/>
        </w:rPr>
        <w:t>量药品</w:t>
      </w:r>
      <w:r>
        <w:rPr/>
        <w:t>（不含疫苗</w:t>
      </w:r>
      <w:r>
        <w:rPr>
          <w:spacing w:val="-27"/>
        </w:rPr>
        <w:t>）</w:t>
      </w:r>
      <w:r>
        <w:rPr>
          <w:spacing w:val="-8"/>
        </w:rPr>
        <w:t>的申请，由海南省政府实施审批，经批准进口的药品应在指定医疗机构</w:t>
      </w:r>
      <w:r>
        <w:rPr/>
        <w:t>内用于特定医疗目的。</w:t>
      </w:r>
    </w:p>
    <w:p>
      <w:pPr>
        <w:pStyle w:val="BodyText"/>
        <w:spacing w:line="297" w:lineRule="auto"/>
        <w:ind w:right="1014" w:firstLine="480"/>
      </w:pPr>
      <w:r>
        <w:rPr>
          <w:spacing w:val="-1"/>
        </w:rPr>
        <w:t>《决定》指出，海南省政府要明确审批的条件和程序，严格审查医疗机构提出的申请， 对经批准进口的药品实施严格的药品追溯管理制度，确保所进口的药品来源渠道安全可靠。</w:t>
      </w:r>
      <w:r>
        <w:rPr>
          <w:spacing w:val="-7"/>
        </w:rPr>
        <w:t>具体管理办法由海南省政府制定，报国务院药品监督管理部门和国务院卫生主管部门同意后实施。</w:t>
      </w:r>
    </w:p>
    <w:p>
      <w:pPr>
        <w:spacing w:after="0" w:line="297" w:lineRule="auto"/>
        <w:sectPr>
          <w:type w:val="continuous"/>
          <w:pgSz w:w="11910" w:h="16850"/>
          <w:pgMar w:top="1080" w:bottom="1020" w:left="1060" w:right="0"/>
        </w:sectPr>
      </w:pPr>
    </w:p>
    <w:p>
      <w:pPr>
        <w:pStyle w:val="BodyText"/>
        <w:ind w:left="0"/>
        <w:rPr>
          <w:sz w:val="32"/>
        </w:rPr>
      </w:pPr>
    </w:p>
    <w:p>
      <w:pPr>
        <w:pStyle w:val="BodyText"/>
        <w:spacing w:before="11"/>
        <w:ind w:left="0"/>
        <w:rPr>
          <w:sz w:val="36"/>
        </w:rPr>
      </w:pPr>
    </w:p>
    <w:p>
      <w:pPr>
        <w:pStyle w:val="Heading2"/>
      </w:pPr>
      <w:bookmarkStart w:name="_TOC_250041" w:id="3"/>
      <w:bookmarkEnd w:id="3"/>
      <w:r>
        <w:rPr/>
        <w:t>【热点聚焦】</w:t>
      </w:r>
    </w:p>
    <w:p>
      <w:pPr>
        <w:spacing w:before="16"/>
        <w:ind w:left="217" w:right="0" w:firstLine="0"/>
        <w:jc w:val="left"/>
        <w:rPr>
          <w:rFonts w:ascii="华文宋体" w:eastAsia="华文宋体" w:hint="eastAsia"/>
          <w:b/>
          <w:sz w:val="44"/>
        </w:rPr>
      </w:pPr>
      <w:bookmarkStart w:name="_TOC_250042" w:id="4"/>
      <w:r>
        <w:rPr/>
        <w:br w:type="column"/>
      </w:r>
      <w:r>
        <w:rPr>
          <w:rFonts w:ascii="Times New Roman" w:eastAsia="Times New Roman"/>
          <w:b/>
          <w:color w:val="008000"/>
          <w:spacing w:val="-110"/>
          <w:w w:val="99"/>
          <w:sz w:val="44"/>
          <w:u w:val="thick" w:color="008000"/>
        </w:rPr>
        <w:t> </w:t>
      </w:r>
      <w:bookmarkEnd w:id="4"/>
      <w:r>
        <w:rPr>
          <w:rFonts w:ascii="华文宋体" w:eastAsia="华文宋体" w:hint="eastAsia"/>
          <w:b/>
          <w:color w:val="008000"/>
          <w:sz w:val="44"/>
          <w:u w:val="thick" w:color="008000"/>
        </w:rPr>
        <w:t>行业资讯</w:t>
      </w:r>
    </w:p>
    <w:p>
      <w:pPr>
        <w:spacing w:after="0"/>
        <w:jc w:val="left"/>
        <w:rPr>
          <w:rFonts w:ascii="华文宋体" w:eastAsia="华文宋体" w:hint="eastAsia"/>
          <w:sz w:val="44"/>
        </w:rPr>
        <w:sectPr>
          <w:type w:val="continuous"/>
          <w:pgSz w:w="11910" w:h="16850"/>
          <w:pgMar w:top="1080" w:bottom="1020" w:left="1060" w:right="0"/>
          <w:cols w:num="2" w:equalWidth="0">
            <w:col w:w="2187" w:space="2200"/>
            <w:col w:w="6463"/>
          </w:cols>
        </w:sectPr>
      </w:pPr>
    </w:p>
    <w:p>
      <w:pPr>
        <w:pStyle w:val="BodyText"/>
        <w:spacing w:before="7"/>
        <w:ind w:left="0"/>
        <w:rPr>
          <w:rFonts w:ascii="华文宋体"/>
          <w:b/>
          <w:sz w:val="14"/>
        </w:rPr>
      </w:pPr>
    </w:p>
    <w:p>
      <w:pPr>
        <w:spacing w:after="0"/>
        <w:rPr>
          <w:rFonts w:ascii="华文宋体"/>
          <w:sz w:val="14"/>
        </w:rPr>
        <w:sectPr>
          <w:type w:val="continuous"/>
          <w:pgSz w:w="11910" w:h="16850"/>
          <w:pgMar w:top="1080" w:bottom="1020" w:left="1060" w:right="0"/>
        </w:sectPr>
      </w:pPr>
    </w:p>
    <w:p>
      <w:pPr>
        <w:pStyle w:val="Heading2"/>
        <w:spacing w:before="55"/>
        <w:ind w:left="2674"/>
      </w:pPr>
      <w:bookmarkStart w:name="_TOC_250040" w:id="5"/>
      <w:r>
        <w:rPr/>
        <w:t>2019</w:t>
      </w:r>
      <w:bookmarkEnd w:id="5"/>
      <w:r>
        <w:rPr>
          <w:spacing w:val="-11"/>
        </w:rPr>
        <w:t> 药品招采降价压力有多大？</w:t>
      </w:r>
    </w:p>
    <w:p>
      <w:pPr>
        <w:pStyle w:val="BodyText"/>
        <w:ind w:left="0"/>
        <w:rPr>
          <w:b/>
        </w:rPr>
      </w:pPr>
      <w:r>
        <w:rPr/>
        <w:br w:type="column"/>
      </w:r>
      <w:r>
        <w:rPr>
          <w:b/>
        </w:rPr>
      </w:r>
    </w:p>
    <w:p>
      <w:pPr>
        <w:pStyle w:val="BodyText"/>
        <w:spacing w:before="7"/>
        <w:ind w:left="0"/>
        <w:rPr>
          <w:b/>
          <w:sz w:val="23"/>
        </w:rPr>
      </w:pPr>
    </w:p>
    <w:p>
      <w:pPr>
        <w:pStyle w:val="Heading3"/>
        <w:spacing w:before="1"/>
        <w:ind w:left="10"/>
      </w:pPr>
      <w:r>
        <w:rPr>
          <w:color w:val="FF0000"/>
        </w:rPr>
        <w:t>（来源：医药经济报）</w:t>
      </w:r>
    </w:p>
    <w:p>
      <w:pPr>
        <w:spacing w:after="0"/>
        <w:sectPr>
          <w:type w:val="continuous"/>
          <w:pgSz w:w="11910" w:h="16850"/>
          <w:pgMar w:top="1080" w:bottom="1020" w:left="1060" w:right="0"/>
          <w:cols w:num="2" w:equalWidth="0">
            <w:col w:w="7256" w:space="40"/>
            <w:col w:w="3554"/>
          </w:cols>
        </w:sectPr>
      </w:pPr>
    </w:p>
    <w:p>
      <w:pPr>
        <w:pStyle w:val="BodyText"/>
        <w:spacing w:line="297" w:lineRule="auto" w:before="96"/>
        <w:ind w:right="1127" w:firstLine="480"/>
        <w:jc w:val="both"/>
      </w:pPr>
      <w:r>
        <w:rPr>
          <w:spacing w:val="-10"/>
        </w:rPr>
        <w:t>近日，在北京召开的国内某医药峰会上，华中某城市药品采购相关人士郑重介绍：新近</w:t>
      </w:r>
      <w:r>
        <w:rPr>
          <w:spacing w:val="-6"/>
        </w:rPr>
        <w:t>开展的药品带量采购中，基础输液平均降幅达到 </w:t>
      </w:r>
      <w:r>
        <w:rPr>
          <w:rFonts w:ascii="Times New Roman" w:eastAsia="Times New Roman"/>
          <w:spacing w:val="-5"/>
        </w:rPr>
        <w:t>18.7%</w:t>
      </w:r>
      <w:r>
        <w:rPr>
          <w:spacing w:val="-10"/>
        </w:rPr>
        <w:t>，最高降幅高达 </w:t>
      </w:r>
      <w:r>
        <w:rPr>
          <w:rFonts w:ascii="Times New Roman" w:eastAsia="Times New Roman"/>
        </w:rPr>
        <w:t>24%</w:t>
      </w:r>
      <w:r>
        <w:rPr>
          <w:spacing w:val="-8"/>
        </w:rPr>
        <w:t>。在各地医保局陆续挂牌成立的背景下，该市开展的药品带量采购，无疑给药品招标提前打响了冬日里清脆</w:t>
      </w:r>
      <w:r>
        <w:rPr/>
        <w:t>的降价第一枪！</w:t>
      </w:r>
    </w:p>
    <w:p>
      <w:pPr>
        <w:spacing w:after="0" w:line="297" w:lineRule="auto"/>
        <w:jc w:val="both"/>
        <w:sectPr>
          <w:type w:val="continuous"/>
          <w:pgSz w:w="11910" w:h="16850"/>
          <w:pgMar w:top="1080" w:bottom="1020" w:left="1060" w:right="0"/>
        </w:sectPr>
      </w:pPr>
    </w:p>
    <w:p>
      <w:pPr>
        <w:pStyle w:val="BodyText"/>
        <w:spacing w:line="295" w:lineRule="auto" w:before="65"/>
        <w:ind w:left="699" w:right="1080" w:hanging="3"/>
        <w:rPr>
          <w:b/>
        </w:rPr>
      </w:pPr>
      <w:r>
        <w:rPr/>
        <w:t>药价降幅的空间如此之高，是否意味着 </w:t>
      </w:r>
      <w:r>
        <w:rPr>
          <w:rFonts w:ascii="Times New Roman" w:eastAsia="Times New Roman"/>
        </w:rPr>
        <w:t>2019 </w:t>
      </w:r>
      <w:r>
        <w:rPr/>
        <w:t>年全国药品降价潘多拉魔盒被提前打开？ </w:t>
      </w:r>
      <w:r>
        <w:rPr>
          <w:b/>
        </w:rPr>
        <w:t>得质量层次者得天下</w:t>
      </w:r>
    </w:p>
    <w:p>
      <w:pPr>
        <w:pStyle w:val="BodyText"/>
        <w:spacing w:line="297" w:lineRule="auto" w:before="2"/>
        <w:ind w:right="1130" w:firstLine="480"/>
        <w:jc w:val="both"/>
      </w:pPr>
      <w:r>
        <w:rPr>
          <w:spacing w:val="-8"/>
        </w:rPr>
        <w:t>传统意义上的省级药品集中采购，顶层设计可谓完美。无论是《医疗机构药品集中采购</w:t>
      </w:r>
      <w:r>
        <w:rPr/>
        <w:t>工作规范》（卫规财发【</w:t>
      </w:r>
      <w:r>
        <w:rPr>
          <w:rFonts w:ascii="Times New Roman" w:hAnsi="Times New Roman" w:eastAsia="Times New Roman"/>
        </w:rPr>
        <w:t>2010</w:t>
      </w:r>
      <w:r>
        <w:rPr/>
        <w:t>】</w:t>
      </w:r>
      <w:r>
        <w:rPr>
          <w:rFonts w:ascii="Times New Roman" w:hAnsi="Times New Roman" w:eastAsia="Times New Roman"/>
        </w:rPr>
        <w:t>64 </w:t>
      </w:r>
      <w:r>
        <w:rPr/>
        <w:t>号文）还是《建立和规范政府办基层医疗卫生机构基本药物采购机制的指导意见》（国办发【</w:t>
      </w:r>
      <w:r>
        <w:rPr>
          <w:rFonts w:ascii="Times New Roman" w:hAnsi="Times New Roman" w:eastAsia="Times New Roman"/>
        </w:rPr>
        <w:t>2010</w:t>
      </w:r>
      <w:r>
        <w:rPr/>
        <w:t>】</w:t>
      </w:r>
      <w:r>
        <w:rPr>
          <w:rFonts w:ascii="Times New Roman" w:hAnsi="Times New Roman" w:eastAsia="Times New Roman"/>
        </w:rPr>
        <w:t>56 </w:t>
      </w:r>
      <w:r>
        <w:rPr/>
        <w:t>号文），很多创新性做法，如招采合一、“双信封”制、量价挂钩等均让人眼前一亮。</w:t>
      </w:r>
    </w:p>
    <w:p>
      <w:pPr>
        <w:pStyle w:val="BodyText"/>
        <w:spacing w:line="295" w:lineRule="auto"/>
        <w:ind w:right="1130" w:firstLine="480"/>
        <w:jc w:val="both"/>
      </w:pPr>
      <w:r>
        <w:rPr>
          <w:rFonts w:ascii="Times New Roman" w:hAnsi="Times New Roman" w:eastAsia="Times New Roman"/>
        </w:rPr>
        <w:t>2014 </w:t>
      </w:r>
      <w:r>
        <w:rPr>
          <w:spacing w:val="-15"/>
        </w:rPr>
        <w:t>年，安徽 </w:t>
      </w:r>
      <w:r>
        <w:rPr>
          <w:rFonts w:ascii="Times New Roman" w:hAnsi="Times New Roman" w:eastAsia="Times New Roman"/>
        </w:rPr>
        <w:t>1118 </w:t>
      </w:r>
      <w:r>
        <w:rPr>
          <w:spacing w:val="-5"/>
        </w:rPr>
        <w:t>基本用药采购，虽然依旧沿用了此前的“双信封”招标模式，但实</w:t>
      </w:r>
      <w:r>
        <w:rPr>
          <w:spacing w:val="-21"/>
        </w:rPr>
        <w:t>施细则发生明显变化，不再以“最低价”作为中标的主要因素，更倾向于综合考量质量类型、</w:t>
      </w:r>
      <w:r>
        <w:rPr>
          <w:spacing w:val="-20"/>
        </w:rPr>
        <w:t>新版 </w:t>
      </w:r>
      <w:r>
        <w:rPr>
          <w:rFonts w:ascii="Times New Roman" w:hAnsi="Times New Roman" w:eastAsia="Times New Roman"/>
        </w:rPr>
        <w:t>GMP </w:t>
      </w:r>
      <w:r>
        <w:rPr/>
        <w:t>认证情况、实际报价和降幅等多方因素，但各省招标仍然“唯低价是取”。</w:t>
      </w:r>
    </w:p>
    <w:p>
      <w:pPr>
        <w:pStyle w:val="BodyText"/>
        <w:spacing w:line="297" w:lineRule="auto" w:before="2"/>
        <w:ind w:right="1127" w:firstLine="480"/>
        <w:jc w:val="both"/>
      </w:pPr>
      <w:r>
        <w:rPr>
          <w:spacing w:val="-16"/>
        </w:rPr>
        <w:t>以某省 </w:t>
      </w:r>
      <w:r>
        <w:rPr>
          <w:rFonts w:ascii="Times New Roman" w:eastAsia="Times New Roman"/>
        </w:rPr>
        <w:t>2012 </w:t>
      </w:r>
      <w:r>
        <w:rPr/>
        <w:t>年的招标文件为例，在质量层次划分上，专利、原研药品赫然被列入第一</w:t>
      </w:r>
      <w:r>
        <w:rPr>
          <w:spacing w:val="-11"/>
        </w:rPr>
        <w:t>质量层次，单独定价药品、优质优价药品被列入第二层次，获欧美认证的药品则被列入第三</w:t>
      </w:r>
      <w:r>
        <w:rPr/>
        <w:t>层次，</w:t>
      </w:r>
      <w:r>
        <w:rPr>
          <w:rFonts w:ascii="Times New Roman" w:eastAsia="Times New Roman"/>
        </w:rPr>
        <w:t>GMP </w:t>
      </w:r>
      <w:r>
        <w:rPr/>
        <w:t>药品被放在最低的第四层次。当时，得质量层次者得天下。品种能够单独划入</w:t>
      </w:r>
      <w:r>
        <w:rPr>
          <w:spacing w:val="-10"/>
        </w:rPr>
        <w:t>一个质量层次，基本上意味着可以避开同通用名同规格其它竞品的绞杀，价格体系已经维护</w:t>
      </w:r>
      <w:r>
        <w:rPr/>
        <w:t>了一半。进入单独定价与优质优价的品种，可谓奇货可居。</w:t>
      </w:r>
    </w:p>
    <w:p>
      <w:pPr>
        <w:pStyle w:val="BodyText"/>
        <w:spacing w:line="297" w:lineRule="auto"/>
        <w:ind w:right="1132" w:firstLine="480"/>
        <w:jc w:val="both"/>
      </w:pPr>
      <w:r>
        <w:rPr>
          <w:spacing w:val="-4"/>
        </w:rPr>
        <w:t>当时常有这样的笑谈：某产品在 </w:t>
      </w:r>
      <w:r>
        <w:rPr>
          <w:rFonts w:ascii="Times New Roman" w:eastAsia="Times New Roman"/>
        </w:rPr>
        <w:t>A </w:t>
      </w:r>
      <w:r>
        <w:rPr>
          <w:spacing w:val="-4"/>
        </w:rPr>
        <w:t>省以原研名义获取单独定价，在 </w:t>
      </w:r>
      <w:r>
        <w:rPr>
          <w:rFonts w:ascii="Times New Roman" w:eastAsia="Times New Roman"/>
        </w:rPr>
        <w:t>B </w:t>
      </w:r>
      <w:r>
        <w:rPr/>
        <w:t>省却被划进普通</w:t>
      </w:r>
      <w:r>
        <w:rPr>
          <w:spacing w:val="-7"/>
        </w:rPr>
        <w:t>的政府指导价。在 </w:t>
      </w:r>
      <w:r>
        <w:rPr>
          <w:rFonts w:ascii="Times New Roman" w:eastAsia="Times New Roman"/>
        </w:rPr>
        <w:t>A </w:t>
      </w:r>
      <w:r>
        <w:rPr>
          <w:spacing w:val="-3"/>
        </w:rPr>
        <w:t>省招标采购中划进第一质量层次，在相邻的 </w:t>
      </w:r>
      <w:r>
        <w:rPr>
          <w:rFonts w:ascii="Times New Roman" w:eastAsia="Times New Roman"/>
        </w:rPr>
        <w:t>B </w:t>
      </w:r>
      <w:r>
        <w:rPr/>
        <w:t>省却被划进第三质量层</w:t>
      </w:r>
      <w:r>
        <w:rPr>
          <w:spacing w:val="-11"/>
        </w:rPr>
        <w:t>次。因为在各地发改委定价时代，单独定价各地解释不同，需要的材料也花样翻新。省级药</w:t>
      </w:r>
      <w:r>
        <w:rPr>
          <w:spacing w:val="-9"/>
        </w:rPr>
        <w:t>品招标更是如此：一个简单的原研认定，不同的省份判定看似差异不大，却内含玄机。有时</w:t>
      </w:r>
      <w:r>
        <w:rPr/>
        <w:t>候，一份小小的释义就足以要了相关药品价格的命。</w:t>
      </w:r>
    </w:p>
    <w:p>
      <w:pPr>
        <w:pStyle w:val="BodyText"/>
        <w:spacing w:line="297" w:lineRule="auto"/>
        <w:ind w:right="1013" w:firstLine="480"/>
      </w:pPr>
      <w:r>
        <w:rPr>
          <w:spacing w:val="-7"/>
        </w:rPr>
        <w:t>许多省份的招标文件显示，同招标通用名、招标剂型、招标规格、质量层次</w:t>
      </w:r>
      <w:r>
        <w:rPr/>
        <w:t>（即同药品</w:t>
      </w:r>
      <w:r>
        <w:rPr>
          <w:spacing w:val="-4"/>
        </w:rPr>
        <w:t>编码、同层次分组</w:t>
      </w:r>
      <w:r>
        <w:rPr>
          <w:spacing w:val="-17"/>
        </w:rPr>
        <w:t>）</w:t>
      </w:r>
      <w:r>
        <w:rPr>
          <w:spacing w:val="-3"/>
        </w:rPr>
        <w:t>的为一个竞争</w:t>
      </w:r>
      <w:r>
        <w:rPr/>
        <w:t>（评审</w:t>
      </w:r>
      <w:r>
        <w:rPr>
          <w:spacing w:val="-17"/>
        </w:rPr>
        <w:t>）</w:t>
      </w:r>
      <w:r>
        <w:rPr>
          <w:spacing w:val="-11"/>
        </w:rPr>
        <w:t>组，同一竞争组有 </w:t>
      </w:r>
      <w:r>
        <w:rPr>
          <w:rFonts w:ascii="Times New Roman" w:eastAsia="Times New Roman"/>
        </w:rPr>
        <w:t>3 </w:t>
      </w:r>
      <w:r>
        <w:rPr>
          <w:spacing w:val="-4"/>
        </w:rPr>
        <w:t>个的，按竞价规则进行竞价</w:t>
      </w:r>
      <w:r>
        <w:rPr>
          <w:spacing w:val="-10"/>
        </w:rPr>
        <w:t>入围，报价高的淘汰。而跻身较高质量层次且同品规的原研药、单独定价药品，则享受谈判</w:t>
      </w:r>
      <w:r>
        <w:rPr>
          <w:spacing w:val="-11"/>
        </w:rPr>
        <w:t>待遇。一边是充分竞争的低质量层次药品，为了获取中标，在竞价组，价格拼得昏天暗地。</w:t>
      </w:r>
      <w:r>
        <w:rPr>
          <w:spacing w:val="-5"/>
        </w:rPr>
        <w:t>一边是没什么对手的高质量层次议价组，在两轮甚至三轮议价过程中，象征性地降点价甚至不降，即可中标完胜。药价虚高与虚低并存，市场竞争与行政管制并存。</w:t>
      </w:r>
    </w:p>
    <w:p>
      <w:pPr>
        <w:pStyle w:val="Heading3"/>
        <w:spacing w:line="300" w:lineRule="exact"/>
        <w:rPr>
          <w:rFonts w:ascii="宋体" w:eastAsia="宋体" w:hint="eastAsia"/>
        </w:rPr>
      </w:pPr>
      <w:r>
        <w:rPr>
          <w:rFonts w:ascii="宋体" w:eastAsia="宋体" w:hint="eastAsia"/>
        </w:rPr>
        <w:t>重新定义省级招标</w:t>
      </w:r>
    </w:p>
    <w:p>
      <w:pPr>
        <w:pStyle w:val="BodyText"/>
        <w:spacing w:line="297" w:lineRule="auto" w:before="58"/>
        <w:ind w:right="1128" w:firstLine="480"/>
        <w:jc w:val="both"/>
      </w:pPr>
      <w:r>
        <w:rPr>
          <w:rFonts w:ascii="Times New Roman" w:eastAsia="Times New Roman"/>
        </w:rPr>
        <w:t>2015 </w:t>
      </w:r>
      <w:r>
        <w:rPr>
          <w:spacing w:val="-10"/>
        </w:rPr>
        <w:t>年，药品招标新的指导文件 </w:t>
      </w:r>
      <w:r>
        <w:rPr>
          <w:rFonts w:ascii="Times New Roman" w:eastAsia="Times New Roman"/>
        </w:rPr>
        <w:t>7 </w:t>
      </w:r>
      <w:r>
        <w:rPr>
          <w:spacing w:val="-15"/>
        </w:rPr>
        <w:t>号文与 </w:t>
      </w:r>
      <w:r>
        <w:rPr>
          <w:rFonts w:ascii="Times New Roman" w:eastAsia="Times New Roman"/>
        </w:rPr>
        <w:t>70 </w:t>
      </w:r>
      <w:r>
        <w:rPr>
          <w:spacing w:val="-12"/>
        </w:rPr>
        <w:t>号文出台，在继承 </w:t>
      </w:r>
      <w:r>
        <w:rPr>
          <w:rFonts w:ascii="Times New Roman" w:eastAsia="Times New Roman"/>
        </w:rPr>
        <w:t>56 </w:t>
      </w:r>
      <w:r>
        <w:rPr>
          <w:spacing w:val="-15"/>
        </w:rPr>
        <w:t>号文与 </w:t>
      </w:r>
      <w:r>
        <w:rPr>
          <w:rFonts w:ascii="Times New Roman" w:eastAsia="Times New Roman"/>
        </w:rPr>
        <w:t>64 </w:t>
      </w:r>
      <w:r>
        <w:rPr>
          <w:spacing w:val="-4"/>
        </w:rPr>
        <w:t>号文的基</w:t>
      </w:r>
      <w:r>
        <w:rPr/>
        <w:t>础上，对传统省级药品招标重新分割式定义：</w:t>
      </w:r>
    </w:p>
    <w:p>
      <w:pPr>
        <w:pStyle w:val="ListParagraph"/>
        <w:numPr>
          <w:ilvl w:val="0"/>
          <w:numId w:val="1"/>
        </w:numPr>
        <w:tabs>
          <w:tab w:pos="879" w:val="left" w:leader="none"/>
        </w:tabs>
        <w:spacing w:line="295" w:lineRule="auto" w:before="0" w:after="0"/>
        <w:ind w:left="217" w:right="1020" w:firstLine="480"/>
        <w:jc w:val="left"/>
        <w:rPr>
          <w:sz w:val="24"/>
        </w:rPr>
      </w:pPr>
      <w:r>
        <w:rPr>
          <w:spacing w:val="-1"/>
          <w:sz w:val="24"/>
        </w:rPr>
        <w:t>在分类采购方面，对药品不同类别采用不同的采购方式，分为招标采购、谈判采购、</w:t>
      </w:r>
      <w:r>
        <w:rPr>
          <w:sz w:val="24"/>
        </w:rPr>
        <w:t>医院直接采购和定点生产、特殊药品采购。</w:t>
      </w:r>
    </w:p>
    <w:p>
      <w:pPr>
        <w:pStyle w:val="ListParagraph"/>
        <w:numPr>
          <w:ilvl w:val="0"/>
          <w:numId w:val="1"/>
        </w:numPr>
        <w:tabs>
          <w:tab w:pos="879" w:val="left" w:leader="none"/>
        </w:tabs>
        <w:spacing w:line="295" w:lineRule="auto" w:before="3" w:after="0"/>
        <w:ind w:left="217" w:right="1127" w:firstLine="480"/>
        <w:jc w:val="both"/>
        <w:rPr>
          <w:sz w:val="24"/>
        </w:rPr>
      </w:pPr>
      <w:r>
        <w:rPr>
          <w:spacing w:val="-5"/>
          <w:sz w:val="24"/>
        </w:rPr>
        <w:t>在阳光采购方面，要求统一省级药品采购平台规范化建设标准，推动药品采购编码标</w:t>
      </w:r>
      <w:r>
        <w:rPr>
          <w:spacing w:val="-10"/>
          <w:sz w:val="24"/>
        </w:rPr>
        <w:t>准化。建立药品采购数据共享机制，实现国家平台、省级平台、医院、医保经办机构、价格</w:t>
      </w:r>
      <w:r>
        <w:rPr>
          <w:sz w:val="24"/>
        </w:rPr>
        <w:t>主管部门等信息互联互通、资源共享。</w:t>
      </w:r>
    </w:p>
    <w:p>
      <w:pPr>
        <w:pStyle w:val="ListParagraph"/>
        <w:numPr>
          <w:ilvl w:val="0"/>
          <w:numId w:val="1"/>
        </w:numPr>
        <w:tabs>
          <w:tab w:pos="879" w:val="left" w:leader="none"/>
        </w:tabs>
        <w:spacing w:line="240" w:lineRule="auto" w:before="6" w:after="0"/>
        <w:ind w:left="878" w:right="0" w:hanging="181"/>
        <w:jc w:val="left"/>
        <w:rPr>
          <w:rFonts w:ascii="Times New Roman" w:eastAsia="Times New Roman"/>
          <w:sz w:val="24"/>
        </w:rPr>
      </w:pPr>
      <w:r>
        <w:rPr>
          <w:spacing w:val="-12"/>
          <w:sz w:val="24"/>
        </w:rPr>
        <w:t>在带量采购方面，强调以医院需求为导向，医院按照不低于上年度药品实际使用量 </w:t>
      </w:r>
      <w:r>
        <w:rPr>
          <w:rFonts w:ascii="Times New Roman" w:eastAsia="Times New Roman"/>
          <w:sz w:val="24"/>
        </w:rPr>
        <w:t>80%</w:t>
      </w:r>
    </w:p>
    <w:p>
      <w:pPr>
        <w:pStyle w:val="BodyText"/>
        <w:spacing w:before="71"/>
      </w:pPr>
      <w:r>
        <w:rPr/>
        <w:t>制定采购计划。具体到通用名、剂型和规格，每种药品采购的剂型原则上不超过 </w:t>
      </w:r>
      <w:r>
        <w:rPr>
          <w:rFonts w:ascii="Times New Roman" w:eastAsia="Times New Roman"/>
        </w:rPr>
        <w:t>3 </w:t>
      </w:r>
      <w:r>
        <w:rPr/>
        <w:t>种，每种</w:t>
      </w:r>
    </w:p>
    <w:p>
      <w:pPr>
        <w:pStyle w:val="BodyText"/>
        <w:spacing w:before="72"/>
      </w:pPr>
      <w:r>
        <w:rPr/>
        <w:t>剂型对应的规格原则上不超过 </w:t>
      </w:r>
      <w:r>
        <w:rPr>
          <w:rFonts w:ascii="Times New Roman" w:eastAsia="Times New Roman"/>
        </w:rPr>
        <w:t>2 </w:t>
      </w:r>
      <w:r>
        <w:rPr/>
        <w:t>种。</w:t>
      </w:r>
    </w:p>
    <w:p>
      <w:pPr>
        <w:spacing w:after="0"/>
        <w:sectPr>
          <w:pgSz w:w="11910" w:h="16850"/>
          <w:pgMar w:header="906" w:footer="531" w:top="1100" w:bottom="800" w:left="1060" w:right="0"/>
        </w:sectPr>
      </w:pPr>
    </w:p>
    <w:p>
      <w:pPr>
        <w:pStyle w:val="ListParagraph"/>
        <w:numPr>
          <w:ilvl w:val="0"/>
          <w:numId w:val="1"/>
        </w:numPr>
        <w:tabs>
          <w:tab w:pos="879" w:val="left" w:leader="none"/>
        </w:tabs>
        <w:spacing w:line="295" w:lineRule="auto" w:before="65" w:after="0"/>
        <w:ind w:left="217" w:right="1127" w:firstLine="480"/>
        <w:jc w:val="both"/>
        <w:rPr>
          <w:sz w:val="24"/>
        </w:rPr>
      </w:pPr>
      <w:r>
        <w:rPr>
          <w:spacing w:val="-5"/>
          <w:sz w:val="24"/>
        </w:rPr>
        <w:t>在试点采购方面，则特别要求省市采购同步、价格联动，省级招标采购和试点城市自</w:t>
      </w:r>
      <w:r>
        <w:rPr>
          <w:spacing w:val="-8"/>
          <w:sz w:val="24"/>
        </w:rPr>
        <w:t>行采购要同步启动实施，试点城市成交价格明显低于省级中标价格的，省级中标价格应按试</w:t>
      </w:r>
      <w:r>
        <w:rPr>
          <w:sz w:val="24"/>
        </w:rPr>
        <w:t>点城市成交价格进行调整。</w:t>
      </w:r>
    </w:p>
    <w:p>
      <w:pPr>
        <w:pStyle w:val="BodyText"/>
        <w:spacing w:line="295" w:lineRule="auto" w:before="5"/>
        <w:ind w:right="1127" w:firstLine="480"/>
      </w:pPr>
      <w:r>
        <w:rPr>
          <w:spacing w:val="-6"/>
        </w:rPr>
        <w:t>这四个采购基本能够把药品采购的环节与弊端都考虑到。唯一没有考虑到的是，二次议</w:t>
      </w:r>
      <w:r>
        <w:rPr/>
        <w:t>价对省级招标的影响力如此之大，尤其是医改试点省的二次议价冲击力。</w:t>
      </w:r>
    </w:p>
    <w:p>
      <w:pPr>
        <w:pStyle w:val="BodyText"/>
        <w:spacing w:line="297" w:lineRule="auto" w:before="2"/>
        <w:ind w:right="890" w:firstLine="480"/>
      </w:pPr>
      <w:r>
        <w:rPr>
          <w:rFonts w:ascii="Times New Roman" w:hAnsi="Times New Roman" w:eastAsia="Times New Roman"/>
        </w:rPr>
        <w:t>2014 </w:t>
      </w:r>
      <w:r>
        <w:rPr/>
        <w:t>年的安徽“</w:t>
      </w:r>
      <w:r>
        <w:rPr>
          <w:rFonts w:ascii="Times New Roman" w:hAnsi="Times New Roman" w:eastAsia="Times New Roman"/>
        </w:rPr>
        <w:t>16+1</w:t>
      </w:r>
      <w:r>
        <w:rPr/>
        <w:t>”，</w:t>
      </w:r>
      <w:r>
        <w:rPr>
          <w:rFonts w:ascii="Times New Roman" w:hAnsi="Times New Roman" w:eastAsia="Times New Roman"/>
        </w:rPr>
        <w:t>2015 </w:t>
      </w:r>
      <w:r>
        <w:rPr/>
        <w:t>年开始的浙江“二次议价”，直至今天许多省份的地级市、县甚至单体医疗机构都打着带量采购的名义开展二次甚至三次议价。随着零差率实施， 新</w:t>
      </w:r>
      <w:r>
        <w:rPr>
          <w:spacing w:val="-9"/>
        </w:rPr>
        <w:t>的财政补偿机制需要建立建全，行政管制的省级采购演变成行政分散管制的片区单体采购， </w:t>
      </w:r>
      <w:r>
        <w:rPr/>
        <w:t>市场竞争演变成降价大战。</w:t>
      </w:r>
    </w:p>
    <w:p>
      <w:pPr>
        <w:pStyle w:val="Heading3"/>
        <w:spacing w:line="304" w:lineRule="exact"/>
        <w:rPr>
          <w:rFonts w:ascii="宋体" w:hAnsi="宋体" w:eastAsia="宋体" w:hint="eastAsia"/>
        </w:rPr>
      </w:pPr>
      <w:r>
        <w:rPr>
          <w:rFonts w:ascii="宋体" w:hAnsi="宋体" w:eastAsia="宋体" w:hint="eastAsia"/>
          <w:w w:val="95"/>
        </w:rPr>
        <w:t>“二次议价”定江山</w:t>
      </w:r>
    </w:p>
    <w:p>
      <w:pPr>
        <w:pStyle w:val="BodyText"/>
        <w:spacing w:line="297" w:lineRule="auto" w:before="72"/>
        <w:ind w:right="1014" w:firstLine="480"/>
      </w:pPr>
      <w:r>
        <w:rPr>
          <w:spacing w:val="-8"/>
        </w:rPr>
        <w:t>顶层设计方面，药品集中采购要有利于破除“以药补医”机制，加快公立医院特别是县</w:t>
      </w:r>
      <w:r>
        <w:rPr>
          <w:spacing w:val="-13"/>
        </w:rPr>
        <w:t>级公立医院改革；有利于降低药品虚高价格，减轻人民群众用药负担；有利于预防和遏制药</w:t>
      </w:r>
      <w:r>
        <w:rPr>
          <w:spacing w:val="-14"/>
        </w:rPr>
        <w:t>品购销领域腐败行为，抵制商业贿赂；有利于推动药品生产流通企业整合重组，公平竞争， </w:t>
      </w:r>
      <w:r>
        <w:rPr/>
        <w:t>促进医药产业健康发展。</w:t>
      </w:r>
    </w:p>
    <w:p>
      <w:pPr>
        <w:pStyle w:val="BodyText"/>
        <w:spacing w:line="297" w:lineRule="auto"/>
        <w:ind w:right="1127" w:firstLine="480"/>
        <w:jc w:val="both"/>
      </w:pPr>
      <w:r>
        <w:rPr>
          <w:spacing w:val="-8"/>
        </w:rPr>
        <w:t>实际落地方面，药品采购化集中为分散，各采购主体充分利用“结余留用、合理超支分</w:t>
      </w:r>
      <w:r>
        <w:rPr>
          <w:spacing w:val="-11"/>
        </w:rPr>
        <w:t>担”激励约束机制的自我异化理解，通过一轮又一轮的二次议价，再次进行新形势下隐形的</w:t>
      </w:r>
      <w:r>
        <w:rPr/>
        <w:t>“以药补医”。</w:t>
      </w:r>
    </w:p>
    <w:p>
      <w:pPr>
        <w:pStyle w:val="BodyText"/>
        <w:spacing w:line="297" w:lineRule="auto"/>
        <w:ind w:right="1128" w:firstLine="480"/>
      </w:pPr>
      <w:r>
        <w:rPr>
          <w:spacing w:val="-31"/>
        </w:rPr>
        <w:t>当 </w:t>
      </w:r>
      <w:r>
        <w:rPr>
          <w:rFonts w:ascii="Times New Roman" w:hAnsi="Times New Roman" w:eastAsia="Times New Roman"/>
        </w:rPr>
        <w:t>GPO</w:t>
      </w:r>
      <w:r>
        <w:rPr/>
        <w:t>、采购联盟、试点采购等二次议价成为一种新常态时，省级药品集中采购的政</w:t>
      </w:r>
      <w:r>
        <w:rPr>
          <w:spacing w:val="-13"/>
        </w:rPr>
        <w:t>策效果就无从谈起，违背了 </w:t>
      </w:r>
      <w:r>
        <w:rPr>
          <w:rFonts w:ascii="Times New Roman" w:hAnsi="Times New Roman" w:eastAsia="Times New Roman"/>
        </w:rPr>
        <w:t>70 </w:t>
      </w:r>
      <w:r>
        <w:rPr>
          <w:spacing w:val="-14"/>
        </w:rPr>
        <w:t>号文强调要求的“要坚持药品集中采购方向，实行一个平台、</w:t>
      </w:r>
      <w:r>
        <w:rPr/>
        <w:t>上下联动、公开透明、分类采购”。</w:t>
      </w:r>
    </w:p>
    <w:p>
      <w:pPr>
        <w:pStyle w:val="BodyText"/>
        <w:spacing w:line="297" w:lineRule="auto"/>
        <w:ind w:right="1127" w:firstLine="480"/>
        <w:jc w:val="both"/>
      </w:pPr>
      <w:r>
        <w:rPr>
          <w:spacing w:val="-8"/>
        </w:rPr>
        <w:t>药企价格空间是有限的，各地招标采购普遍的流通做法是互相比价。企业为应对普遍面</w:t>
      </w:r>
      <w:r>
        <w:rPr>
          <w:spacing w:val="-11"/>
        </w:rPr>
        <w:t>对的“二次议价”以及医保局成立后开展的药品采购，不得不从统筹设计角度，维护价格体</w:t>
      </w:r>
      <w:r>
        <w:rPr/>
        <w:t>系，但何其艰难！</w:t>
      </w:r>
    </w:p>
    <w:p>
      <w:pPr>
        <w:pStyle w:val="BodyText"/>
        <w:spacing w:line="297" w:lineRule="auto"/>
        <w:ind w:right="1014" w:firstLine="480"/>
      </w:pPr>
      <w:r>
        <w:rPr>
          <w:spacing w:val="-11"/>
        </w:rPr>
        <w:t>目前，很多省、市、医院仍然以人机对话开展谈判。这种谈判看似公允公平，但是在一</w:t>
      </w:r>
      <w:r>
        <w:rPr>
          <w:spacing w:val="-14"/>
        </w:rPr>
        <w:t>种信息沟通不畅、彼此无法掌握对方真实目的的背景下开展。专家提出建议价时没有给出科</w:t>
      </w:r>
      <w:r>
        <w:rPr>
          <w:spacing w:val="-23"/>
        </w:rPr>
        <w:t>学明确、公平公开的依据，仅以降价作为最终目的，主观随意色彩较浓。以西南某省医联体、</w:t>
      </w:r>
      <w:r>
        <w:rPr>
          <w:spacing w:val="-25"/>
        </w:rPr>
        <w:t>医院议价为例，有的第一轮专家建议价直接在投标价的基础上砍掉 </w:t>
      </w:r>
      <w:r>
        <w:rPr>
          <w:rFonts w:ascii="Times New Roman" w:eastAsia="Times New Roman"/>
        </w:rPr>
        <w:t>60%</w:t>
      </w:r>
      <w:r>
        <w:rPr>
          <w:spacing w:val="-10"/>
        </w:rPr>
        <w:t>，甚至还有 </w:t>
      </w:r>
      <w:r>
        <w:rPr>
          <w:rFonts w:ascii="Times New Roman" w:eastAsia="Times New Roman"/>
        </w:rPr>
        <w:t>1 </w:t>
      </w:r>
      <w:r>
        <w:rPr/>
        <w:t>角的回</w:t>
      </w:r>
      <w:r>
        <w:rPr>
          <w:spacing w:val="-1"/>
        </w:rPr>
        <w:t>价。有的专家不考虑企业给出的还价理由，第二轮给价仅在第一轮报价基础上上浮几角。</w:t>
      </w:r>
    </w:p>
    <w:p>
      <w:pPr>
        <w:pStyle w:val="BodyText"/>
        <w:spacing w:line="295" w:lineRule="auto"/>
        <w:ind w:right="1127" w:firstLine="480"/>
      </w:pPr>
      <w:r>
        <w:rPr>
          <w:spacing w:val="-10"/>
        </w:rPr>
        <w:t>这样的议价，没有让买卖交易双方直接谈判，取而代之的是电脑背后的专家“一价定江</w:t>
      </w:r>
      <w:r>
        <w:rPr/>
        <w:t>山”，曲解了“医疗机构作为议价主体”的政策内涵，没有给予企业平等的权利和机会。</w:t>
      </w:r>
    </w:p>
    <w:p>
      <w:pPr>
        <w:pStyle w:val="Heading3"/>
        <w:rPr>
          <w:rFonts w:ascii="宋体" w:eastAsia="宋体" w:hint="eastAsia"/>
        </w:rPr>
      </w:pPr>
      <w:r>
        <w:rPr>
          <w:rFonts w:ascii="宋体" w:eastAsia="宋体" w:hint="eastAsia"/>
        </w:rPr>
        <w:t>省级平台服务市场</w:t>
      </w:r>
    </w:p>
    <w:p>
      <w:pPr>
        <w:pStyle w:val="BodyText"/>
        <w:spacing w:line="295" w:lineRule="auto" w:before="54"/>
        <w:ind w:right="1207" w:firstLine="480"/>
      </w:pPr>
      <w:r>
        <w:rPr>
          <w:rFonts w:ascii="Times New Roman" w:hAnsi="Times New Roman" w:eastAsia="Times New Roman"/>
        </w:rPr>
        <w:t>2017 </w:t>
      </w:r>
      <w:r>
        <w:rPr/>
        <w:t>年开始，药企忽然发现维价困难了。先是“两票制”全国大规模推广，后是一致性评价带来的巨大挑战。</w:t>
      </w:r>
    </w:p>
    <w:p>
      <w:pPr>
        <w:pStyle w:val="BodyText"/>
        <w:spacing w:line="297" w:lineRule="auto" w:before="4"/>
        <w:ind w:right="1014" w:firstLine="480"/>
      </w:pPr>
      <w:r>
        <w:rPr>
          <w:spacing w:val="-1"/>
        </w:rPr>
        <w:t>对“两票制”的看法，市场上有一种声音：“价格虚高是由药品集中采购管制决定的， </w:t>
      </w:r>
      <w:r>
        <w:rPr>
          <w:spacing w:val="-9"/>
        </w:rPr>
        <w:t>与渠道多少票无关。”这只说对了一半，药品价格确实是由集中采购规制的，但价格虚高除</w:t>
      </w:r>
      <w:r>
        <w:rPr>
          <w:spacing w:val="-14"/>
        </w:rPr>
        <w:t>了反映在药品集中采购领域，更多的“虚”是把合理的、不合理的价格捆绑在一起形成的一</w:t>
      </w:r>
      <w:r>
        <w:rPr>
          <w:spacing w:val="-12"/>
        </w:rPr>
        <w:t>个链条，这个价格链条之所以边界模糊，最大的原因在于：一味的市场逐利本性挣脱了行政管束的缰绳，冲破了公开竞争的红线。</w:t>
      </w:r>
    </w:p>
    <w:p>
      <w:pPr>
        <w:spacing w:after="0" w:line="297" w:lineRule="auto"/>
        <w:sectPr>
          <w:pgSz w:w="11910" w:h="16850"/>
          <w:pgMar w:header="906" w:footer="531" w:top="1100" w:bottom="800" w:left="1060" w:right="0"/>
        </w:sectPr>
      </w:pPr>
    </w:p>
    <w:p>
      <w:pPr>
        <w:pStyle w:val="BodyText"/>
        <w:spacing w:line="297" w:lineRule="auto" w:before="65"/>
        <w:ind w:right="1127" w:firstLine="480"/>
        <w:jc w:val="right"/>
      </w:pPr>
      <w:r>
        <w:rPr>
          <w:spacing w:val="-8"/>
        </w:rPr>
        <w:t>一致性评价则被寄予厚望：希望通过仿制药一致性评价促使药品市场形成充分竞争，进</w:t>
      </w:r>
      <w:r>
        <w:rPr>
          <w:spacing w:val="-10"/>
        </w:rPr>
        <w:t>而降低药品价格。但现实是，原研在观望，甚至小步降价，通过一致性评价的药品反而受制</w:t>
      </w:r>
      <w:r>
        <w:rPr>
          <w:spacing w:val="-20"/>
        </w:rPr>
        <w:t>于价格管制，不能轻易提价。许多省份出于保险策略，基本上以全国最低价作为“安全栓”。</w:t>
      </w:r>
      <w:r>
        <w:rPr>
          <w:spacing w:val="-1"/>
        </w:rPr>
        <w:t>此次“</w:t>
      </w:r>
      <w:r>
        <w:rPr>
          <w:rFonts w:ascii="Times New Roman" w:hAnsi="Times New Roman" w:eastAsia="Times New Roman"/>
        </w:rPr>
        <w:t>4+7</w:t>
      </w:r>
      <w:r>
        <w:rPr/>
        <w:t>”方案推出，有业内声音认为，同品种就算单一货源中标，但适应症类似，</w:t>
      </w:r>
    </w:p>
    <w:p>
      <w:pPr>
        <w:pStyle w:val="BodyText"/>
        <w:spacing w:line="297" w:lineRule="auto"/>
        <w:ind w:right="1127"/>
        <w:jc w:val="both"/>
      </w:pPr>
      <w:r>
        <w:rPr>
          <w:spacing w:val="-11"/>
        </w:rPr>
        <w:t>可替代太多，处方笔、医院、商业、企业一定存在“上有政策、下有对策”的应对方法。笔</w:t>
      </w:r>
      <w:r>
        <w:rPr>
          <w:spacing w:val="-10"/>
        </w:rPr>
        <w:t>者担心的是，临床上有的慢性病有药品依从性，一旦实现大规模临床替代，换药后的不良反</w:t>
      </w:r>
      <w:r>
        <w:rPr/>
        <w:t>应收集是否会做好？</w:t>
      </w:r>
    </w:p>
    <w:p>
      <w:pPr>
        <w:pStyle w:val="BodyText"/>
        <w:spacing w:line="297" w:lineRule="auto"/>
        <w:ind w:right="1127" w:firstLine="480"/>
        <w:jc w:val="both"/>
      </w:pPr>
      <w:r>
        <w:rPr>
          <w:spacing w:val="-22"/>
        </w:rPr>
        <w:t>未来，各种形式的药品采购百花齐放，组织、牵头、监管的省级平台仍将肩负相关重任， </w:t>
      </w:r>
      <w:r>
        <w:rPr>
          <w:spacing w:val="-9"/>
        </w:rPr>
        <w:t>但工作角度会有所转换，即由过去的“市场服务”转向“服务市场”。因此，药品采购不但</w:t>
      </w:r>
      <w:r>
        <w:rPr>
          <w:spacing w:val="-19"/>
        </w:rPr>
        <w:t>不会被废止，还会越来越纵横交错，呈现高度分散化。带量采购的步伐在 </w:t>
      </w:r>
      <w:r>
        <w:rPr>
          <w:rFonts w:ascii="Times New Roman" w:hAnsi="Times New Roman" w:eastAsia="Times New Roman"/>
        </w:rPr>
        <w:t>2019 </w:t>
      </w:r>
      <w:r>
        <w:rPr>
          <w:spacing w:val="-3"/>
        </w:rPr>
        <w:t>年不会停止， </w:t>
      </w:r>
      <w:r>
        <w:rPr/>
        <w:t>且会越来越频繁。</w:t>
      </w:r>
    </w:p>
    <w:p>
      <w:pPr>
        <w:spacing w:after="0" w:line="297" w:lineRule="auto"/>
        <w:jc w:val="both"/>
        <w:sectPr>
          <w:pgSz w:w="11910" w:h="16850"/>
          <w:pgMar w:header="906" w:footer="531" w:top="1100" w:bottom="800" w:left="1060" w:right="0"/>
        </w:sectPr>
      </w:pPr>
    </w:p>
    <w:p>
      <w:pPr>
        <w:pStyle w:val="BodyText"/>
        <w:ind w:left="0"/>
        <w:rPr>
          <w:sz w:val="32"/>
        </w:rPr>
      </w:pPr>
    </w:p>
    <w:p>
      <w:pPr>
        <w:pStyle w:val="BodyText"/>
        <w:spacing w:before="3"/>
        <w:ind w:left="0"/>
        <w:rPr>
          <w:sz w:val="36"/>
        </w:rPr>
      </w:pPr>
    </w:p>
    <w:p>
      <w:pPr>
        <w:pStyle w:val="Heading2"/>
      </w:pPr>
      <w:r>
        <w:rPr/>
        <w:t>【前沿速览】</w:t>
      </w:r>
    </w:p>
    <w:p>
      <w:pPr>
        <w:pStyle w:val="Heading1"/>
        <w:spacing w:before="10"/>
        <w:rPr>
          <w:u w:val="none"/>
        </w:rPr>
      </w:pPr>
      <w:bookmarkStart w:name="_TOC_250039" w:id="6"/>
      <w:r>
        <w:rPr>
          <w:b w:val="0"/>
          <w:u w:val="none"/>
        </w:rPr>
        <w:br w:type="column"/>
      </w:r>
      <w:r>
        <w:rPr>
          <w:rFonts w:ascii="Times New Roman" w:eastAsia="Times New Roman"/>
          <w:color w:val="008000"/>
          <w:spacing w:val="-110"/>
          <w:w w:val="99"/>
          <w:u w:val="thick" w:color="008000"/>
        </w:rPr>
        <w:t> </w:t>
      </w:r>
      <w:bookmarkEnd w:id="6"/>
      <w:r>
        <w:rPr>
          <w:color w:val="008000"/>
          <w:u w:val="thick" w:color="008000"/>
        </w:rPr>
        <w:t>医药前沿</w:t>
      </w:r>
    </w:p>
    <w:p>
      <w:pPr>
        <w:spacing w:after="0"/>
        <w:sectPr>
          <w:type w:val="continuous"/>
          <w:pgSz w:w="11910" w:h="16850"/>
          <w:pgMar w:top="1080" w:bottom="1020" w:left="1060" w:right="0"/>
          <w:cols w:num="2" w:equalWidth="0">
            <w:col w:w="2187" w:space="2200"/>
            <w:col w:w="6463"/>
          </w:cols>
        </w:sectPr>
      </w:pPr>
    </w:p>
    <w:p>
      <w:pPr>
        <w:pStyle w:val="BodyText"/>
        <w:spacing w:before="9"/>
        <w:ind w:left="0"/>
        <w:rPr>
          <w:rFonts w:ascii="华文宋体"/>
          <w:b/>
          <w:sz w:val="14"/>
        </w:rPr>
      </w:pPr>
    </w:p>
    <w:p>
      <w:pPr>
        <w:pStyle w:val="Heading2"/>
        <w:spacing w:before="55"/>
        <w:ind w:left="0" w:right="920"/>
        <w:jc w:val="center"/>
      </w:pPr>
      <w:bookmarkStart w:name="_TOC_250038" w:id="7"/>
      <w:bookmarkEnd w:id="7"/>
      <w:r>
        <w:rPr/>
        <w:t>乳腺癌基因检测可大幅减少不必要化疗</w:t>
      </w:r>
    </w:p>
    <w:p>
      <w:pPr>
        <w:pStyle w:val="Heading3"/>
        <w:spacing w:before="145"/>
        <w:ind w:left="6100"/>
      </w:pPr>
      <w:r>
        <w:rPr>
          <w:color w:val="FF0000"/>
          <w:w w:val="95"/>
        </w:rPr>
        <w:t>（来源：《新英格兰医学杂志》）</w:t>
      </w:r>
    </w:p>
    <w:p>
      <w:pPr>
        <w:pStyle w:val="BodyText"/>
        <w:spacing w:before="98"/>
        <w:ind w:left="697"/>
      </w:pPr>
      <w:r>
        <w:rPr>
          <w:spacing w:val="-2"/>
        </w:rPr>
        <w:t>《新英格兰医学杂志》发表的一篇文章中，来自美国的学者研究了在乳腺癌 </w:t>
      </w:r>
      <w:r>
        <w:rPr>
          <w:rFonts w:ascii="Times New Roman" w:eastAsia="Times New Roman"/>
        </w:rPr>
        <w:t>21 </w:t>
      </w:r>
      <w:r>
        <w:rPr/>
        <w:t>种基因</w:t>
      </w:r>
    </w:p>
    <w:p>
      <w:pPr>
        <w:pStyle w:val="BodyText"/>
        <w:spacing w:before="72"/>
      </w:pPr>
      <w:r>
        <w:rPr>
          <w:spacing w:val="-3"/>
        </w:rPr>
        <w:t>表达分析的指导下进行辅助化疗的临床效果。研究团队对 </w:t>
      </w:r>
      <w:r>
        <w:rPr>
          <w:rFonts w:ascii="Times New Roman" w:eastAsia="Times New Roman"/>
        </w:rPr>
        <w:t>10273 </w:t>
      </w:r>
      <w:r>
        <w:rPr>
          <w:spacing w:val="-6"/>
        </w:rPr>
        <w:t>名乳腺癌患者进行了 </w:t>
      </w:r>
      <w:r>
        <w:rPr>
          <w:rFonts w:ascii="Times New Roman" w:eastAsia="Times New Roman"/>
        </w:rPr>
        <w:t>21 </w:t>
      </w:r>
      <w:r>
        <w:rPr/>
        <w:t>种</w:t>
      </w:r>
    </w:p>
    <w:p>
      <w:pPr>
        <w:pStyle w:val="BodyText"/>
        <w:spacing w:before="72"/>
      </w:pPr>
      <w:r>
        <w:rPr>
          <w:spacing w:val="-9"/>
        </w:rPr>
        <w:t>乳腺癌基因分析，患者均为激素受体阳性、人表皮生长因子受体 </w:t>
      </w:r>
      <w:r>
        <w:rPr>
          <w:rFonts w:ascii="Times New Roman" w:eastAsia="Times New Roman"/>
        </w:rPr>
        <w:t>2 </w:t>
      </w:r>
      <w:r>
        <w:rPr>
          <w:spacing w:val="-6"/>
        </w:rPr>
        <w:t>阴性、腋淋巴结阴性乳腺</w:t>
      </w:r>
    </w:p>
    <w:p>
      <w:pPr>
        <w:pStyle w:val="BodyText"/>
        <w:spacing w:line="297" w:lineRule="auto" w:before="74"/>
        <w:ind w:right="1127"/>
      </w:pPr>
      <w:r>
        <w:rPr>
          <w:spacing w:val="-4"/>
        </w:rPr>
        <w:t>癌的女性。最终结果显示，基于 </w:t>
      </w:r>
      <w:r>
        <w:rPr>
          <w:rFonts w:ascii="Times New Roman" w:eastAsia="Times New Roman"/>
        </w:rPr>
        <w:t>21 </w:t>
      </w:r>
      <w:r>
        <w:rPr/>
        <w:t>种乳腺癌基因测定的评分，可以更加准确地预测患者从</w:t>
      </w:r>
      <w:r>
        <w:rPr>
          <w:spacing w:val="-3"/>
        </w:rPr>
        <w:t>乳腺癌辅助化疗方案中的获益情况。从该项研究看，基因检测可使 </w:t>
      </w:r>
      <w:r>
        <w:rPr>
          <w:rFonts w:ascii="Times New Roman" w:eastAsia="Times New Roman"/>
        </w:rPr>
        <w:t>85%</w:t>
      </w:r>
      <w:r>
        <w:rPr/>
        <w:t>的早期乳腺癌患者</w:t>
      </w:r>
      <w:r>
        <w:rPr>
          <w:spacing w:val="-11"/>
        </w:rPr>
        <w:t>免除化疗。研究者认为，该评分有助于医生来判断乳腺癌患者是否需要辅助化疗，并为患者</w:t>
      </w:r>
      <w:r>
        <w:rPr/>
        <w:t>制定更加个体化的辅助化疗方案。</w:t>
      </w:r>
    </w:p>
    <w:p>
      <w:pPr>
        <w:pStyle w:val="BodyText"/>
        <w:spacing w:line="297" w:lineRule="auto"/>
        <w:ind w:right="1007" w:firstLine="480"/>
      </w:pPr>
      <w:r>
        <w:rPr>
          <w:spacing w:val="-6"/>
        </w:rPr>
        <w:t>乳腺癌是女性最常见的肿瘤，也是女性癌症死亡主因之一。影响乳腺癌远处复发的因素</w:t>
      </w:r>
      <w:r>
        <w:rPr>
          <w:spacing w:val="-14"/>
        </w:rPr>
        <w:t>包括肿瘤大小、分级、淋巴结转移等临床病理特征。根据雌激素受体状态和 </w:t>
      </w:r>
      <w:r>
        <w:rPr>
          <w:rFonts w:ascii="Times New Roman" w:eastAsia="Times New Roman"/>
        </w:rPr>
        <w:t>HER2 </w:t>
      </w:r>
      <w:r>
        <w:rPr/>
        <w:t>表达等特</w:t>
      </w:r>
      <w:r>
        <w:rPr>
          <w:spacing w:val="-14"/>
        </w:rPr>
        <w:t>征进行有针对性的辅助治疗，可有效改善乳腺癌患者预后，辅助化疗能降低乳腺癌复发风险。然而，对于 </w:t>
      </w:r>
      <w:r>
        <w:rPr>
          <w:rFonts w:ascii="Times New Roman" w:eastAsia="Times New Roman"/>
        </w:rPr>
        <w:t>ER </w:t>
      </w:r>
      <w:r>
        <w:rPr>
          <w:spacing w:val="-6"/>
        </w:rPr>
        <w:t>阳性、腋淋阴性的乳腺癌，在内分泌治疗基础上增加化疗可能并不是对所有</w:t>
      </w:r>
      <w:r>
        <w:rPr>
          <w:spacing w:val="-13"/>
        </w:rPr>
        <w:t>患者都适用，单纯内分泌治疗对其来说已经足够。</w:t>
      </w:r>
      <w:r>
        <w:rPr>
          <w:rFonts w:ascii="Times New Roman" w:eastAsia="Times New Roman"/>
        </w:rPr>
        <w:t>21 </w:t>
      </w:r>
      <w:r>
        <w:rPr>
          <w:spacing w:val="-5"/>
        </w:rPr>
        <w:t>基因检测不仅能帮医生预测 </w:t>
      </w:r>
      <w:r>
        <w:rPr>
          <w:rFonts w:ascii="Times New Roman" w:eastAsia="Times New Roman"/>
        </w:rPr>
        <w:t>1~5 </w:t>
      </w:r>
      <w:r>
        <w:rPr>
          <w:spacing w:val="-20"/>
        </w:rPr>
        <w:t>年及 </w:t>
      </w:r>
      <w:r>
        <w:rPr>
          <w:rFonts w:ascii="Times New Roman" w:eastAsia="Times New Roman"/>
        </w:rPr>
        <w:t>5 </w:t>
      </w:r>
      <w:r>
        <w:rPr>
          <w:spacing w:val="-6"/>
        </w:rPr>
        <w:t>年后复发风险，还能预测 </w:t>
      </w:r>
      <w:r>
        <w:rPr>
          <w:rFonts w:ascii="Times New Roman" w:eastAsia="Times New Roman"/>
        </w:rPr>
        <w:t>ER </w:t>
      </w:r>
      <w:r>
        <w:rPr/>
        <w:t>阳性浸润性乳腺癌患者对化疗和内分泌治疗的获益程度。</w:t>
      </w:r>
    </w:p>
    <w:p>
      <w:pPr>
        <w:pStyle w:val="Heading2"/>
        <w:spacing w:before="219"/>
      </w:pPr>
      <w:bookmarkStart w:name="_TOC_250037" w:id="8"/>
      <w:bookmarkEnd w:id="8"/>
      <w:r>
        <w:rPr/>
        <w:t>【研究进展】</w:t>
      </w:r>
    </w:p>
    <w:p>
      <w:pPr>
        <w:pStyle w:val="BodyText"/>
        <w:spacing w:before="9"/>
        <w:ind w:left="0"/>
        <w:rPr>
          <w:b/>
          <w:sz w:val="17"/>
        </w:rPr>
      </w:pPr>
    </w:p>
    <w:p>
      <w:pPr>
        <w:spacing w:after="0"/>
        <w:rPr>
          <w:sz w:val="17"/>
        </w:rPr>
        <w:sectPr>
          <w:type w:val="continuous"/>
          <w:pgSz w:w="11910" w:h="16850"/>
          <w:pgMar w:top="1080" w:bottom="1020" w:left="1060" w:right="0"/>
        </w:sectPr>
      </w:pPr>
    </w:p>
    <w:p>
      <w:pPr>
        <w:pStyle w:val="Heading2"/>
        <w:spacing w:before="54"/>
        <w:ind w:left="2715"/>
      </w:pPr>
      <w:bookmarkStart w:name="_TOC_250036" w:id="9"/>
      <w:bookmarkEnd w:id="9"/>
      <w:r>
        <w:rPr>
          <w:spacing w:val="-2"/>
        </w:rPr>
        <w:t>尼古丁与酒精的成瘾机制被揭示</w:t>
      </w:r>
    </w:p>
    <w:p>
      <w:pPr>
        <w:pStyle w:val="BodyText"/>
        <w:ind w:left="0"/>
        <w:rPr>
          <w:b/>
        </w:rPr>
      </w:pPr>
      <w:r>
        <w:rPr/>
        <w:br w:type="column"/>
      </w:r>
      <w:r>
        <w:rPr>
          <w:b/>
        </w:rPr>
      </w:r>
    </w:p>
    <w:p>
      <w:pPr>
        <w:pStyle w:val="BodyText"/>
        <w:spacing w:before="10"/>
        <w:ind w:left="0"/>
        <w:rPr>
          <w:b/>
          <w:sz w:val="23"/>
        </w:rPr>
      </w:pPr>
    </w:p>
    <w:p>
      <w:pPr>
        <w:pStyle w:val="Heading3"/>
        <w:ind w:left="536"/>
      </w:pPr>
      <w:r>
        <w:rPr>
          <w:color w:val="FF0000"/>
        </w:rPr>
        <w:t>（来源：健康报）</w:t>
      </w:r>
    </w:p>
    <w:p>
      <w:pPr>
        <w:spacing w:after="0"/>
        <w:sectPr>
          <w:type w:val="continuous"/>
          <w:pgSz w:w="11910" w:h="16850"/>
          <w:pgMar w:top="1080" w:bottom="1020" w:left="1060" w:right="0"/>
          <w:cols w:num="2" w:equalWidth="0">
            <w:col w:w="7212" w:space="40"/>
            <w:col w:w="3598"/>
          </w:cols>
        </w:sectPr>
      </w:pPr>
    </w:p>
    <w:p>
      <w:pPr>
        <w:pStyle w:val="BodyText"/>
        <w:spacing w:line="312" w:lineRule="auto" w:before="110"/>
        <w:ind w:right="1130" w:firstLine="480"/>
      </w:pPr>
      <w:r>
        <w:rPr>
          <w:spacing w:val="-6"/>
        </w:rPr>
        <w:t>在国家自然基金和上海市重大专项等多个基金的资助下，复旦大学类脑智能科学与技术研究院院长冯建峰教授领衔与来自英国华威大学、牛津大学、剑桥大学等研究人员组成的国</w:t>
      </w:r>
    </w:p>
    <w:p>
      <w:pPr>
        <w:spacing w:after="0" w:line="312" w:lineRule="auto"/>
        <w:sectPr>
          <w:type w:val="continuous"/>
          <w:pgSz w:w="11910" w:h="16850"/>
          <w:pgMar w:top="1080" w:bottom="1020" w:left="1060" w:right="0"/>
        </w:sectPr>
      </w:pPr>
    </w:p>
    <w:p>
      <w:pPr>
        <w:pStyle w:val="BodyText"/>
        <w:spacing w:line="312" w:lineRule="auto" w:before="79"/>
        <w:ind w:right="1127"/>
        <w:jc w:val="both"/>
      </w:pPr>
      <w:r>
        <w:rPr>
          <w:spacing w:val="-7"/>
        </w:rPr>
        <w:t>际合作团队，对近 </w:t>
      </w:r>
      <w:r>
        <w:rPr>
          <w:rFonts w:ascii="Times New Roman" w:eastAsia="Times New Roman"/>
        </w:rPr>
        <w:t>2000 </w:t>
      </w:r>
      <w:r>
        <w:rPr/>
        <w:t>例被试者进行脑网络建模分析，历时两年研究，终于发现并找到了</w:t>
      </w:r>
      <w:r>
        <w:rPr>
          <w:spacing w:val="-9"/>
        </w:rPr>
        <w:t>与吸烟、饮酒密切相关的神经环路。在长期吸烟组，被试者脑区之间的同步性明显降低；在</w:t>
      </w:r>
      <w:r>
        <w:rPr>
          <w:spacing w:val="-13"/>
        </w:rPr>
        <w:t>长期饮酒组，被试者脑区之间的同步性却呈现明显升高。同步性异常的升高或降低都会影响</w:t>
      </w:r>
      <w:r>
        <w:rPr>
          <w:spacing w:val="-10"/>
        </w:rPr>
        <w:t>人脑的功能。该发现为揭示尼古丁和酒精对大脑的作用机制奠定了理论基础，对烟酒成瘾这</w:t>
      </w:r>
      <w:r>
        <w:rPr>
          <w:spacing w:val="-5"/>
        </w:rPr>
        <w:t>一全球公共健康问题以及研发针对烟酒成瘾的特异性治疗方法具有重要意义。相关研究论文</w:t>
      </w:r>
    </w:p>
    <w:p>
      <w:pPr>
        <w:pStyle w:val="BodyText"/>
        <w:spacing w:line="312" w:lineRule="auto" w:before="1"/>
        <w:ind w:right="1166"/>
      </w:pPr>
      <w:r>
        <w:rPr>
          <w:rFonts w:ascii="Times New Roman" w:eastAsia="Times New Roman"/>
        </w:rPr>
        <w:t>1 </w:t>
      </w:r>
      <w:r>
        <w:rPr/>
        <w:t>月 </w:t>
      </w:r>
      <w:r>
        <w:rPr>
          <w:rFonts w:ascii="Times New Roman" w:eastAsia="Times New Roman"/>
        </w:rPr>
        <w:t>8 </w:t>
      </w:r>
      <w:r>
        <w:rPr/>
        <w:t>日在线发表在生物医学领域学术期刊《</w:t>
      </w:r>
      <w:r>
        <w:rPr>
          <w:rFonts w:ascii="Times New Roman" w:eastAsia="Times New Roman"/>
        </w:rPr>
        <w:t>e </w:t>
      </w:r>
      <w:r>
        <w:rPr/>
        <w:t>生命》上，并被遴选为《</w:t>
      </w:r>
      <w:r>
        <w:rPr>
          <w:rFonts w:ascii="Times New Roman" w:eastAsia="Times New Roman"/>
        </w:rPr>
        <w:t>e </w:t>
      </w:r>
      <w:r>
        <w:rPr/>
        <w:t>生命文摘》特别报道。</w:t>
      </w:r>
    </w:p>
    <w:p>
      <w:pPr>
        <w:pStyle w:val="BodyText"/>
        <w:spacing w:line="312" w:lineRule="auto"/>
        <w:ind w:right="1014" w:firstLine="480"/>
      </w:pPr>
      <w:r>
        <w:rPr>
          <w:spacing w:val="-11"/>
        </w:rPr>
        <w:t>据悉，冯建峰研究团队整合了美国人脑连接组计划以及欧洲青少年数据两大脑影像数据</w:t>
      </w:r>
      <w:r>
        <w:rPr>
          <w:spacing w:val="-12"/>
        </w:rPr>
        <w:t>库后发现，吸烟人群的脑功能连接呈现整体减弱的趋势，主要涉及脑区的外侧眶额皮层等； </w:t>
      </w:r>
      <w:r>
        <w:rPr>
          <w:spacing w:val="-5"/>
        </w:rPr>
        <w:t>而饮酒人群的脑功能连接呈现整体增强的趋势，主要涉及脑区的内侧眶额皮层等，即在长期</w:t>
      </w:r>
      <w:r>
        <w:rPr>
          <w:spacing w:val="-9"/>
        </w:rPr>
        <w:t>吸烟的被试组，被试者异常的脑区主要集中在惩罚</w:t>
      </w:r>
      <w:r>
        <w:rPr/>
        <w:t>（非奖赏</w:t>
      </w:r>
      <w:r>
        <w:rPr>
          <w:spacing w:val="-27"/>
        </w:rPr>
        <w:t>）</w:t>
      </w:r>
      <w:r>
        <w:rPr>
          <w:spacing w:val="-3"/>
        </w:rPr>
        <w:t>功能相关的外侧眶额皮层；而</w:t>
      </w:r>
      <w:r>
        <w:rPr>
          <w:spacing w:val="-10"/>
        </w:rPr>
        <w:t>在长期饮酒组，异常的脑区主要集中在奖赏功能相关的内侧眶额皮层，而人脑的外侧眶额皮</w:t>
      </w:r>
      <w:r>
        <w:rPr>
          <w:spacing w:val="-21"/>
        </w:rPr>
        <w:t>层主要负责惩罚</w:t>
      </w:r>
      <w:r>
        <w:rPr/>
        <w:t>（非奖赏</w:t>
      </w:r>
      <w:r>
        <w:rPr>
          <w:spacing w:val="-87"/>
        </w:rPr>
        <w:t>）</w:t>
      </w:r>
      <w:r>
        <w:rPr>
          <w:spacing w:val="-14"/>
        </w:rPr>
        <w:t>等负面刺激，内侧眶额皮层主要负责奖赏等正面刺激。研究发现， </w:t>
      </w:r>
      <w:r>
        <w:rPr>
          <w:spacing w:val="-18"/>
        </w:rPr>
        <w:t>吸烟组对脑惩罚功能的敏感性降低，而饮酒组对脑奖赏功能的敏感性升高。无论是对惩罚失</w:t>
      </w:r>
      <w:r>
        <w:rPr>
          <w:spacing w:val="-11"/>
        </w:rPr>
        <w:t>敏，还是对奖赏过于兴奋都会导致人对某种物质的依赖。这也解释了长期吸烟、饮酒人群对</w:t>
      </w:r>
      <w:r>
        <w:rPr>
          <w:spacing w:val="-15"/>
        </w:rPr>
        <w:t>尼古丁和酒精的依赖。研究还发现，这些和吸烟、饮酒关联的脑连接，与吸烟量、饮酒量及冲动性行为都显著相关。</w:t>
      </w:r>
    </w:p>
    <w:p>
      <w:pPr>
        <w:pStyle w:val="BodyText"/>
        <w:spacing w:line="312" w:lineRule="auto" w:before="4"/>
        <w:ind w:right="1014" w:firstLine="480"/>
      </w:pPr>
      <w:r>
        <w:rPr>
          <w:spacing w:val="-8"/>
        </w:rPr>
        <w:t>研究团队发现，即便少量的吸烟、饮酒也会使脑连接发生异常，进而影响人脑的认知等</w:t>
      </w:r>
      <w:r>
        <w:rPr>
          <w:spacing w:val="-9"/>
        </w:rPr>
        <w:t>功能。冯建峰表示，这与前不久在柳叶刀上发表基于大规模的饮酒调查研究结果是一致的。</w:t>
      </w:r>
      <w:r>
        <w:rPr/>
        <w:t>这也再次提醒公众，传统认识的小烟、小酒不伤身的观点是错误的。</w:t>
      </w:r>
    </w:p>
    <w:p>
      <w:pPr>
        <w:pStyle w:val="BodyText"/>
        <w:ind w:left="0"/>
        <w:rPr>
          <w:sz w:val="17"/>
        </w:rPr>
      </w:pPr>
    </w:p>
    <w:p>
      <w:pPr>
        <w:pStyle w:val="Heading2"/>
        <w:ind w:left="2715"/>
      </w:pPr>
      <w:bookmarkStart w:name="_TOC_250035" w:id="10"/>
      <w:bookmarkEnd w:id="10"/>
      <w:r>
        <w:rPr/>
        <w:t>选择性调控记忆可改变价值决策</w:t>
      </w:r>
    </w:p>
    <w:p>
      <w:pPr>
        <w:spacing w:before="79"/>
        <w:ind w:left="3179" w:right="0" w:firstLine="0"/>
        <w:jc w:val="left"/>
        <w:rPr>
          <w:sz w:val="21"/>
        </w:rPr>
      </w:pPr>
      <w:r>
        <w:rPr>
          <w:sz w:val="21"/>
        </w:rPr>
        <w:t>或可通过轻微刺激改变烟酒成瘾者顽固偏好</w:t>
      </w:r>
    </w:p>
    <w:p>
      <w:pPr>
        <w:pStyle w:val="Heading3"/>
        <w:spacing w:before="179"/>
        <w:ind w:left="7787"/>
      </w:pPr>
      <w:r>
        <w:rPr>
          <w:color w:val="FF0000"/>
        </w:rPr>
        <w:t>（来源：健康报）</w:t>
      </w:r>
    </w:p>
    <w:p>
      <w:pPr>
        <w:pStyle w:val="BodyText"/>
        <w:spacing w:line="297" w:lineRule="auto" w:before="96"/>
        <w:ind w:right="1130" w:firstLine="480"/>
      </w:pPr>
      <w:r>
        <w:rPr/>
        <w:t>北京大学中国药物依赖研究所常务副所长时杰教授课题组和北京大学心理与认知科学</w:t>
      </w:r>
      <w:r>
        <w:rPr>
          <w:spacing w:val="-8"/>
        </w:rPr>
        <w:t>学院朱露莎教授课题组合作开展研究，发现选择性调控睡眠中的记忆处理过程可以改变价值</w:t>
      </w:r>
      <w:r>
        <w:rPr/>
        <w:t>决策行为。相关研究论文近日发表在生命科学领域著名杂志《</w:t>
      </w:r>
      <w:r>
        <w:rPr>
          <w:rFonts w:ascii="Times New Roman" w:eastAsia="Times New Roman"/>
        </w:rPr>
        <w:t>eLife</w:t>
      </w:r>
      <w:r>
        <w:rPr/>
        <w:t>》上，并被重点推介。</w:t>
      </w:r>
    </w:p>
    <w:p>
      <w:pPr>
        <w:pStyle w:val="BodyText"/>
        <w:spacing w:line="297" w:lineRule="auto"/>
        <w:ind w:right="1014" w:firstLine="480"/>
        <w:jc w:val="both"/>
      </w:pPr>
      <w:r>
        <w:rPr>
          <w:spacing w:val="-9"/>
        </w:rPr>
        <w:t>时杰介绍，在日常生活中，大到人们购买股票、基金等理财行为，小到吃苹果还是橘子</w:t>
      </w:r>
      <w:r>
        <w:rPr>
          <w:spacing w:val="-14"/>
        </w:rPr>
        <w:t>等饮食选择都属于价值决策的范畴。既往研究表明，人类在白天学习的知识会在睡眠过程中</w:t>
      </w:r>
      <w:r>
        <w:rPr>
          <w:spacing w:val="-13"/>
        </w:rPr>
        <w:t>自动回放，这可能有利于记忆的长期维持。然而，睡眠对于价值决策等复杂认知功能的影响</w:t>
      </w:r>
      <w:r>
        <w:rPr>
          <w:spacing w:val="-14"/>
        </w:rPr>
        <w:t>目前尚不清楚。有研究表明，生物体可能依据外部环境或自身状态来灵活地调整对选项所赋</w:t>
      </w:r>
      <w:r>
        <w:rPr>
          <w:spacing w:val="-15"/>
        </w:rPr>
        <w:t>予的价值，从而形成所谓的主观偏好。然而，这类调整几乎都发生在生物体清醒状态之下。</w:t>
      </w:r>
    </w:p>
    <w:p>
      <w:pPr>
        <w:pStyle w:val="BodyText"/>
        <w:spacing w:line="297" w:lineRule="auto"/>
        <w:ind w:right="1127" w:firstLine="480"/>
      </w:pPr>
      <w:r>
        <w:rPr>
          <w:spacing w:val="-9"/>
        </w:rPr>
        <w:t>该研究通过行为学、神经电生理以及计算建模等研究方法，发现在浅睡眠期无干扰地轻声播放某些零食名称，可以选择性地改变人们对这些零食的偏好，使得他们醒来后愿意多付</w:t>
      </w:r>
      <w:r>
        <w:rPr>
          <w:spacing w:val="-31"/>
        </w:rPr>
        <w:t>近 </w:t>
      </w:r>
      <w:r>
        <w:rPr>
          <w:rFonts w:ascii="Times New Roman" w:eastAsia="Times New Roman"/>
        </w:rPr>
        <w:t>10%</w:t>
      </w:r>
      <w:r>
        <w:rPr/>
        <w:t>的价钱购买这些零食。有趣的是，对清醒的个体播放同样的声音，偏好并不发生变</w:t>
      </w:r>
      <w:r>
        <w:rPr>
          <w:spacing w:val="-12"/>
        </w:rPr>
        <w:t>化。更为重要的是，研究者发现睡眠状态下播放零食名称所诱发的低频脑电震荡活动可以有</w:t>
      </w:r>
      <w:r>
        <w:rPr/>
        <w:t>效地预测清醒后偏好改变的程度。</w:t>
      </w:r>
    </w:p>
    <w:p>
      <w:pPr>
        <w:spacing w:after="0" w:line="297" w:lineRule="auto"/>
        <w:sectPr>
          <w:pgSz w:w="11910" w:h="16850"/>
          <w:pgMar w:header="906" w:footer="531" w:top="1100" w:bottom="800" w:left="1060" w:right="0"/>
        </w:sectPr>
      </w:pPr>
    </w:p>
    <w:p>
      <w:pPr>
        <w:pStyle w:val="BodyText"/>
        <w:spacing w:line="297" w:lineRule="auto" w:before="65"/>
        <w:ind w:right="1127" w:firstLine="480"/>
        <w:jc w:val="both"/>
      </w:pPr>
      <w:r>
        <w:rPr>
          <w:spacing w:val="-11"/>
        </w:rPr>
        <w:t>专家介绍，该研究将靶向记忆激活范式与价值决策任务相结合，首次证明了选择性调控</w:t>
      </w:r>
      <w:r>
        <w:rPr>
          <w:spacing w:val="-6"/>
        </w:rPr>
        <w:t>睡眠中的记忆处理过程可以改变价值决策行为，为理解睡眠中价值决策行为的加工过程提供</w:t>
      </w:r>
      <w:r>
        <w:rPr>
          <w:spacing w:val="-10"/>
        </w:rPr>
        <w:t>了新的见解。在临床医学领域，该研究指出了一种新的干预可能：为了帮助病人建立良好的</w:t>
      </w:r>
      <w:r>
        <w:rPr>
          <w:spacing w:val="-20"/>
        </w:rPr>
        <w:t>生活习惯、改善健康状况，可通过在睡眠中实施轻微的、无干扰的刺激，来改变烟酒成瘾者、暴饮暴食者的顽固偏好。</w:t>
      </w:r>
    </w:p>
    <w:p>
      <w:pPr>
        <w:pStyle w:val="BodyText"/>
        <w:spacing w:before="6"/>
        <w:ind w:left="0"/>
        <w:rPr>
          <w:sz w:val="20"/>
        </w:rPr>
      </w:pPr>
    </w:p>
    <w:p>
      <w:pPr>
        <w:spacing w:before="72"/>
        <w:ind w:left="3179" w:right="0" w:firstLine="0"/>
        <w:jc w:val="left"/>
        <w:rPr>
          <w:sz w:val="21"/>
        </w:rPr>
      </w:pPr>
      <w:r>
        <w:rPr>
          <w:spacing w:val="-3"/>
          <w:sz w:val="21"/>
        </w:rPr>
        <w:t>环境应激导致抑郁发病分子机制被揭示</w:t>
      </w:r>
    </w:p>
    <w:p>
      <w:pPr>
        <w:pStyle w:val="Heading2"/>
        <w:spacing w:before="158"/>
        <w:ind w:left="3198"/>
      </w:pPr>
      <w:bookmarkStart w:name="_TOC_250034" w:id="11"/>
      <w:bookmarkEnd w:id="11"/>
      <w:r>
        <w:rPr>
          <w:w w:val="95"/>
        </w:rPr>
        <w:t>抑制症治疗有新干预靶点</w:t>
      </w:r>
    </w:p>
    <w:p>
      <w:pPr>
        <w:pStyle w:val="Heading3"/>
        <w:spacing w:before="145"/>
        <w:ind w:left="217" w:right="1130"/>
        <w:jc w:val="right"/>
      </w:pPr>
      <w:r>
        <w:rPr>
          <w:color w:val="FF0000"/>
          <w:w w:val="95"/>
        </w:rPr>
        <w:t>（来源：健康报）</w:t>
      </w:r>
    </w:p>
    <w:p>
      <w:pPr>
        <w:pStyle w:val="BodyText"/>
        <w:spacing w:line="280" w:lineRule="auto" w:before="80"/>
        <w:ind w:right="1127" w:firstLine="480"/>
      </w:pPr>
      <w:r>
        <w:rPr/>
        <w:t>北京大学药学院天然药物及仿生药物国家重点实验室黄卓研究员团队和北京大学基础</w:t>
      </w:r>
      <w:r>
        <w:rPr>
          <w:spacing w:val="-7"/>
        </w:rPr>
        <w:t>医学院梁静副教授课题组，近日在国际著名精神病学杂志《生物精神病学》上在线发表的论</w:t>
      </w:r>
      <w:r>
        <w:rPr>
          <w:spacing w:val="-2"/>
        </w:rPr>
        <w:t>文，阐明了在社交挫败抑郁模型中，前脑组蛋白巴豆酰化修饰与表观遗传分子 </w:t>
      </w:r>
      <w:r>
        <w:rPr>
          <w:rFonts w:ascii="Times New Roman" w:eastAsia="Times New Roman"/>
        </w:rPr>
        <w:t>CDYL </w:t>
      </w:r>
      <w:r>
        <w:rPr/>
        <w:t>在抑</w:t>
      </w:r>
      <w:r>
        <w:rPr>
          <w:spacing w:val="-6"/>
        </w:rPr>
        <w:t>郁症发生和发展中的作用及其分子机制，为阐释抑郁症发生发展提供了新的理论依据，为抑</w:t>
      </w:r>
      <w:r>
        <w:rPr/>
        <w:t>制症治疗提供了潜在的干预靶点。</w:t>
      </w:r>
    </w:p>
    <w:p>
      <w:pPr>
        <w:pStyle w:val="BodyText"/>
        <w:spacing w:line="280" w:lineRule="auto" w:before="1"/>
        <w:ind w:right="1127" w:firstLine="480"/>
      </w:pPr>
      <w:r>
        <w:rPr>
          <w:spacing w:val="-10"/>
        </w:rPr>
        <w:t>黄卓介绍，抑郁症是一种现代社会普遍的精神疾病，影响超过 </w:t>
      </w:r>
      <w:r>
        <w:rPr>
          <w:rFonts w:ascii="Times New Roman" w:eastAsia="Times New Roman"/>
        </w:rPr>
        <w:t>3 </w:t>
      </w:r>
      <w:r>
        <w:rPr>
          <w:spacing w:val="-7"/>
        </w:rPr>
        <w:t>亿人的正常生活。抑郁症的发生不仅受基因遗传学的调控，也与环境应激如压力、创伤记忆等因素密切相关，但环境应激导致抑郁发病的分子机制仍不清楚。科研团队围绕环境应激导致大脑的表观遗传学改</w:t>
      </w:r>
      <w:r>
        <w:rPr>
          <w:spacing w:val="-5"/>
        </w:rPr>
        <w:t>变进行研究，以表观遗传因子 </w:t>
      </w:r>
      <w:r>
        <w:rPr>
          <w:rFonts w:ascii="Times New Roman" w:eastAsia="Times New Roman"/>
        </w:rPr>
        <w:t>CDYL </w:t>
      </w:r>
      <w:r>
        <w:rPr/>
        <w:t>调控的组蛋白巴豆酰化修饰（指在组蛋白的赖氨酸残基上引入巴豆酰基团）为切入点，对应激导致的抑郁发病机制进行研究。</w:t>
      </w:r>
    </w:p>
    <w:p>
      <w:pPr>
        <w:pStyle w:val="BodyText"/>
        <w:spacing w:line="280" w:lineRule="auto" w:before="1"/>
        <w:ind w:right="1128" w:firstLine="480"/>
      </w:pPr>
      <w:r>
        <w:rPr>
          <w:spacing w:val="-3"/>
        </w:rPr>
        <w:t>研究人员发现，一个组蛋白巴豆酰化水解酶和转录抑制因子 </w:t>
      </w:r>
      <w:r>
        <w:rPr>
          <w:rFonts w:ascii="Times New Roman" w:eastAsia="Times New Roman"/>
        </w:rPr>
        <w:t>CDYL </w:t>
      </w:r>
      <w:r>
        <w:rPr/>
        <w:t>在抑郁小鼠前边缘</w:t>
      </w:r>
      <w:r>
        <w:rPr>
          <w:spacing w:val="-9"/>
        </w:rPr>
        <w:t>皮层</w:t>
      </w:r>
      <w:r>
        <w:rPr>
          <w:spacing w:val="-5"/>
        </w:rPr>
        <w:t>（</w:t>
      </w:r>
      <w:r>
        <w:rPr>
          <w:rFonts w:ascii="Times New Roman" w:eastAsia="Times New Roman"/>
          <w:spacing w:val="-5"/>
        </w:rPr>
        <w:t>PL</w:t>
      </w:r>
      <w:r>
        <w:rPr>
          <w:spacing w:val="-5"/>
        </w:rPr>
        <w:t>）的表达量显著上升，并且其介导的组蛋白巴豆酰化水平显著下降。在 </w:t>
      </w:r>
      <w:r>
        <w:rPr>
          <w:rFonts w:ascii="Times New Roman" w:eastAsia="Times New Roman"/>
        </w:rPr>
        <w:t>PL </w:t>
      </w:r>
      <w:r>
        <w:rPr>
          <w:spacing w:val="-5"/>
        </w:rPr>
        <w:t>过表达</w:t>
      </w:r>
    </w:p>
    <w:p>
      <w:pPr>
        <w:pStyle w:val="BodyText"/>
        <w:spacing w:line="280" w:lineRule="auto" w:before="1"/>
        <w:ind w:right="1127"/>
        <w:jc w:val="both"/>
      </w:pPr>
      <w:r>
        <w:rPr>
          <w:rFonts w:ascii="Times New Roman" w:eastAsia="Times New Roman"/>
        </w:rPr>
        <w:t>CDYL </w:t>
      </w:r>
      <w:r>
        <w:rPr>
          <w:spacing w:val="-3"/>
        </w:rPr>
        <w:t>时，可以增加小鼠对抑郁的易感性；反之，敲低 </w:t>
      </w:r>
      <w:r>
        <w:rPr>
          <w:rFonts w:ascii="Times New Roman" w:eastAsia="Times New Roman"/>
        </w:rPr>
        <w:t>CDYL </w:t>
      </w:r>
      <w:r>
        <w:rPr/>
        <w:t>可以降低小鼠对抑郁的易感性。研究人员还发现，</w:t>
      </w:r>
      <w:r>
        <w:rPr>
          <w:rFonts w:ascii="Times New Roman" w:eastAsia="Times New Roman"/>
        </w:rPr>
        <w:t>CDYL </w:t>
      </w:r>
      <w:r>
        <w:rPr>
          <w:spacing w:val="-5"/>
        </w:rPr>
        <w:t>可以通过转录抑制神经肽 </w:t>
      </w:r>
      <w:r>
        <w:rPr>
          <w:rFonts w:ascii="Times New Roman" w:eastAsia="Times New Roman"/>
        </w:rPr>
        <w:t>VGF </w:t>
      </w:r>
      <w:r>
        <w:rPr/>
        <w:t>的表达来影响神经突触的可塑</w:t>
      </w:r>
      <w:r>
        <w:rPr>
          <w:spacing w:val="-12"/>
        </w:rPr>
        <w:t>性，从而调节压力介导的抑郁症发生发展。这一研究首次报道了组蛋白巴豆酰化修饰在抑郁</w:t>
      </w:r>
      <w:r>
        <w:rPr/>
        <w:t>症中的作用，并从分子机制上将外界环境应激与抑郁症的发病相联系。</w:t>
      </w:r>
    </w:p>
    <w:p>
      <w:pPr>
        <w:pStyle w:val="BodyText"/>
        <w:spacing w:before="3"/>
        <w:ind w:left="0"/>
        <w:rPr>
          <w:sz w:val="15"/>
        </w:rPr>
      </w:pPr>
    </w:p>
    <w:p>
      <w:pPr>
        <w:spacing w:after="0"/>
        <w:rPr>
          <w:sz w:val="15"/>
        </w:rPr>
        <w:sectPr>
          <w:pgSz w:w="11910" w:h="16850"/>
          <w:pgMar w:header="906" w:footer="531" w:top="1100" w:bottom="800" w:left="1060" w:right="0"/>
        </w:sectPr>
      </w:pPr>
    </w:p>
    <w:p>
      <w:pPr>
        <w:pStyle w:val="Heading2"/>
        <w:spacing w:before="55"/>
        <w:ind w:left="3037"/>
      </w:pPr>
      <w:bookmarkStart w:name="_TOC_250033" w:id="12"/>
      <w:bookmarkEnd w:id="12"/>
      <w:r>
        <w:rPr>
          <w:spacing w:val="-2"/>
        </w:rPr>
        <w:t>纺锤形神经元转录图谱获析</w:t>
      </w:r>
    </w:p>
    <w:p>
      <w:pPr>
        <w:pStyle w:val="BodyText"/>
        <w:ind w:left="0"/>
        <w:rPr>
          <w:b/>
        </w:rPr>
      </w:pPr>
      <w:r>
        <w:rPr/>
        <w:br w:type="column"/>
      </w:r>
      <w:r>
        <w:rPr>
          <w:b/>
        </w:rPr>
      </w:r>
    </w:p>
    <w:p>
      <w:pPr>
        <w:pStyle w:val="BodyText"/>
        <w:spacing w:before="10"/>
        <w:ind w:left="0"/>
        <w:rPr>
          <w:b/>
          <w:sz w:val="23"/>
        </w:rPr>
      </w:pPr>
    </w:p>
    <w:p>
      <w:pPr>
        <w:pStyle w:val="Heading3"/>
        <w:ind w:left="857"/>
      </w:pPr>
      <w:r>
        <w:rPr>
          <w:color w:val="FF0000"/>
        </w:rPr>
        <w:t>（来源：健康报）</w:t>
      </w:r>
    </w:p>
    <w:p>
      <w:pPr>
        <w:spacing w:after="0"/>
        <w:sectPr>
          <w:type w:val="continuous"/>
          <w:pgSz w:w="11910" w:h="16850"/>
          <w:pgMar w:top="1080" w:bottom="1020" w:left="1060" w:right="0"/>
          <w:cols w:num="2" w:equalWidth="0">
            <w:col w:w="6891" w:space="40"/>
            <w:col w:w="3919"/>
          </w:cols>
        </w:sectPr>
      </w:pPr>
    </w:p>
    <w:p>
      <w:pPr>
        <w:pStyle w:val="BodyText"/>
        <w:spacing w:line="280" w:lineRule="auto" w:before="79"/>
        <w:ind w:right="1014" w:firstLine="480"/>
      </w:pPr>
      <w:r>
        <w:rPr>
          <w:spacing w:val="-1"/>
        </w:rPr>
        <w:t>最近，中国科学院昆明动物研究所宿兵研究组与中南民族大学中国人类脑库中心合作， </w:t>
      </w:r>
      <w:r>
        <w:rPr>
          <w:spacing w:val="-6"/>
        </w:rPr>
        <w:t>成功解析了人类纺锤形神经元转录图谱。这为了解灵长类大脑进化和人类大脑起源中可能扮</w:t>
      </w:r>
      <w:r>
        <w:rPr>
          <w:spacing w:val="-11"/>
        </w:rPr>
        <w:t>演重要角色的神经元类型提供了重要的基础数据，同时为研究人类神经精神疾病</w:t>
      </w:r>
      <w:r>
        <w:rPr/>
        <w:t>（如自闭症等）的发病机制提供了重要信息。该成果论文已发表在学术期刊《大脑皮层》上。</w:t>
      </w:r>
    </w:p>
    <w:p>
      <w:pPr>
        <w:pStyle w:val="BodyText"/>
        <w:spacing w:line="280" w:lineRule="auto" w:before="1"/>
        <w:ind w:right="1014" w:firstLine="480"/>
      </w:pPr>
      <w:r>
        <w:rPr>
          <w:spacing w:val="-1"/>
        </w:rPr>
        <w:t>既有研究发现，在旧大陆猴、猿类和人类等灵长类大脑中进化出了一类新的神经细胞， </w:t>
      </w:r>
      <w:r>
        <w:rPr>
          <w:spacing w:val="-8"/>
        </w:rPr>
        <w:t>称为纺锤形神经元，这类神经元在新大陆猴等更原始的灵长类大脑中没有。人类大脑中的纺</w:t>
      </w:r>
      <w:r>
        <w:rPr>
          <w:spacing w:val="-12"/>
        </w:rPr>
        <w:t>锤形神经元数量最多，集中分布于前脑岛和前扣带回两个脑区。神经生物学家猜测，纺锤形神经元可能参与人类高级认知功能，但因技术等局限，对其确切功能几乎一无所知。</w:t>
      </w:r>
    </w:p>
    <w:p>
      <w:pPr>
        <w:pStyle w:val="BodyText"/>
        <w:spacing w:line="280" w:lineRule="auto" w:before="2"/>
        <w:ind w:right="1129" w:firstLine="480"/>
      </w:pPr>
      <w:r>
        <w:rPr>
          <w:spacing w:val="-5"/>
        </w:rPr>
        <w:t>在此项研究中，科研人员利用激光显微切割和微量样本 </w:t>
      </w:r>
      <w:r>
        <w:rPr>
          <w:rFonts w:ascii="Times New Roman" w:eastAsia="Times New Roman"/>
        </w:rPr>
        <w:t>RNA</w:t>
      </w:r>
      <w:r>
        <w:rPr>
          <w:rFonts w:ascii="Times New Roman" w:eastAsia="Times New Roman"/>
          <w:spacing w:val="-1"/>
        </w:rPr>
        <w:t> </w:t>
      </w:r>
      <w:r>
        <w:rPr>
          <w:spacing w:val="-2"/>
        </w:rPr>
        <w:t>测序技术解析了来源于人</w:t>
      </w:r>
      <w:r>
        <w:rPr>
          <w:spacing w:val="-10"/>
        </w:rPr>
        <w:t>脑前扣带回纺锤形神经元的转录图谱，发现了 </w:t>
      </w:r>
      <w:r>
        <w:rPr>
          <w:rFonts w:ascii="Times New Roman" w:eastAsia="Times New Roman"/>
        </w:rPr>
        <w:t>300 </w:t>
      </w:r>
      <w:r>
        <w:rPr>
          <w:spacing w:val="-1"/>
        </w:rPr>
        <w:t>多个纺锤形神经元特异表达升高或降低的</w:t>
      </w:r>
    </w:p>
    <w:p>
      <w:pPr>
        <w:pStyle w:val="BodyText"/>
      </w:pPr>
      <w:r>
        <w:rPr>
          <w:spacing w:val="-15"/>
        </w:rPr>
        <w:t>基因，鉴定了 </w:t>
      </w:r>
      <w:r>
        <w:rPr>
          <w:rFonts w:ascii="Times New Roman" w:eastAsia="Times New Roman"/>
        </w:rPr>
        <w:t>4 </w:t>
      </w:r>
      <w:r>
        <w:rPr>
          <w:spacing w:val="-5"/>
        </w:rPr>
        <w:t>个新的纺锤形神经元标记基因。对转录组数据的进一步分析发现，这些基因</w:t>
      </w:r>
    </w:p>
    <w:p>
      <w:pPr>
        <w:spacing w:after="0"/>
        <w:sectPr>
          <w:type w:val="continuous"/>
          <w:pgSz w:w="11910" w:h="16850"/>
          <w:pgMar w:top="1080" w:bottom="1020" w:left="1060" w:right="0"/>
        </w:sectPr>
      </w:pPr>
    </w:p>
    <w:p>
      <w:pPr>
        <w:pStyle w:val="BodyText"/>
        <w:spacing w:line="280" w:lineRule="auto" w:before="48"/>
        <w:ind w:right="1127"/>
      </w:pPr>
      <w:r>
        <w:rPr>
          <w:spacing w:val="-6"/>
        </w:rPr>
        <w:t>与纺锤形神经元的形态发育和功能密切相关，比如树突分支和髓鞘化、人类社会情感类疾病</w:t>
      </w:r>
      <w:r>
        <w:rPr/>
        <w:t>等。</w:t>
      </w:r>
    </w:p>
    <w:p>
      <w:pPr>
        <w:pStyle w:val="BodyText"/>
        <w:spacing w:before="3"/>
        <w:ind w:left="0"/>
        <w:rPr>
          <w:sz w:val="15"/>
        </w:rPr>
      </w:pPr>
    </w:p>
    <w:p>
      <w:pPr>
        <w:spacing w:after="0"/>
        <w:rPr>
          <w:sz w:val="15"/>
        </w:rPr>
        <w:sectPr>
          <w:pgSz w:w="11910" w:h="16850"/>
          <w:pgMar w:header="906" w:footer="531" w:top="1100" w:bottom="800" w:left="1060" w:right="0"/>
        </w:sectPr>
      </w:pPr>
    </w:p>
    <w:p>
      <w:pPr>
        <w:pStyle w:val="Heading2"/>
        <w:spacing w:before="54"/>
        <w:ind w:left="3037"/>
      </w:pPr>
      <w:bookmarkStart w:name="_TOC_250032" w:id="13"/>
      <w:bookmarkEnd w:id="13"/>
      <w:r>
        <w:rPr>
          <w:spacing w:val="-2"/>
        </w:rPr>
        <w:t>纳米探针有望精准诊断肺癌</w:t>
      </w:r>
    </w:p>
    <w:p>
      <w:pPr>
        <w:pStyle w:val="BodyText"/>
        <w:ind w:left="0"/>
        <w:rPr>
          <w:b/>
        </w:rPr>
      </w:pPr>
      <w:r>
        <w:rPr/>
        <w:br w:type="column"/>
      </w:r>
      <w:r>
        <w:rPr>
          <w:b/>
        </w:rPr>
      </w:r>
    </w:p>
    <w:p>
      <w:pPr>
        <w:pStyle w:val="BodyText"/>
        <w:spacing w:before="7"/>
        <w:ind w:left="0"/>
        <w:rPr>
          <w:b/>
          <w:sz w:val="23"/>
        </w:rPr>
      </w:pPr>
    </w:p>
    <w:p>
      <w:pPr>
        <w:pStyle w:val="Heading3"/>
        <w:ind w:left="857"/>
      </w:pPr>
      <w:r>
        <w:rPr>
          <w:color w:val="FF0000"/>
        </w:rPr>
        <w:t>（来源：健康报）</w:t>
      </w:r>
    </w:p>
    <w:p>
      <w:pPr>
        <w:spacing w:after="0"/>
        <w:sectPr>
          <w:type w:val="continuous"/>
          <w:pgSz w:w="11910" w:h="16850"/>
          <w:pgMar w:top="1080" w:bottom="1020" w:left="1060" w:right="0"/>
          <w:cols w:num="2" w:equalWidth="0">
            <w:col w:w="6891" w:space="40"/>
            <w:col w:w="3919"/>
          </w:cols>
        </w:sectPr>
      </w:pPr>
    </w:p>
    <w:p>
      <w:pPr>
        <w:pStyle w:val="BodyText"/>
        <w:spacing w:line="280" w:lineRule="auto" w:before="79"/>
        <w:ind w:right="1129" w:firstLine="480"/>
        <w:jc w:val="both"/>
      </w:pPr>
      <w:r>
        <w:rPr>
          <w:spacing w:val="-6"/>
        </w:rPr>
        <w:t>哈尔滨医科大学分子影像研究中心医学博士吴丽娜、温晓斐等研究人员在国际上首次应用一种“吸气式”多功能纳米分子成像探针，用于建立肺癌精准分子检测新方法，在肺癌早</w:t>
      </w:r>
      <w:r>
        <w:rPr>
          <w:spacing w:val="-13"/>
        </w:rPr>
        <w:t>期预警、疗效判定、诊疗一体等领域取得新突破，相关论文近日发表于国际著名生物医学杂</w:t>
      </w:r>
      <w:r>
        <w:rPr/>
        <w:t>志《诊断治疗学》上，并被选为封面文章。</w:t>
      </w:r>
    </w:p>
    <w:p>
      <w:pPr>
        <w:pStyle w:val="BodyText"/>
        <w:spacing w:line="280" w:lineRule="auto" w:before="2"/>
        <w:ind w:right="1006" w:firstLine="480"/>
      </w:pPr>
      <w:r>
        <w:rPr/>
        <w:t>课题组根据肺癌解剖位置和生理特点，利用“可呼吸液体”全氟化碳（</w:t>
      </w:r>
      <w:r>
        <w:rPr>
          <w:rFonts w:ascii="Times New Roman" w:hAnsi="Times New Roman" w:eastAsia="Times New Roman"/>
        </w:rPr>
        <w:t>PFC</w:t>
      </w:r>
      <w:r>
        <w:rPr/>
        <w:t>）携氧特性和优异的磁共振（</w:t>
      </w:r>
      <w:r>
        <w:rPr>
          <w:rFonts w:ascii="Times New Roman" w:hAnsi="Times New Roman" w:eastAsia="Times New Roman"/>
        </w:rPr>
        <w:t>MR</w:t>
      </w:r>
      <w:r>
        <w:rPr/>
        <w:t>）成像性能，成功构建出安全、高效、多功能的 </w:t>
      </w:r>
      <w:r>
        <w:rPr>
          <w:rFonts w:ascii="Times New Roman" w:hAnsi="Times New Roman" w:eastAsia="Times New Roman"/>
        </w:rPr>
        <w:t>PFC </w:t>
      </w:r>
      <w:r>
        <w:rPr/>
        <w:t>分子成像探针， 并创新性地开发及实现了经呼吸道递送模式，极大增强了肺癌在体精确成像效果。</w:t>
      </w:r>
    </w:p>
    <w:p>
      <w:pPr>
        <w:pStyle w:val="BodyText"/>
        <w:spacing w:line="280" w:lineRule="auto"/>
        <w:ind w:right="1009" w:firstLine="480"/>
      </w:pPr>
      <w:r>
        <w:rPr>
          <w:spacing w:val="-6"/>
        </w:rPr>
        <w:t>作为一种优异的纳米磁共振成像对比剂，全氟化碳的组成成分氟是最适于磁共振分子成</w:t>
      </w:r>
      <w:r>
        <w:rPr>
          <w:spacing w:val="-8"/>
        </w:rPr>
        <w:t>像的元素。吴丽娜、温晓斐团队设计出的纳米级全氟化碳，同时具备 </w:t>
      </w:r>
      <w:r>
        <w:rPr>
          <w:rFonts w:ascii="Times New Roman" w:hAnsi="Times New Roman" w:eastAsia="Times New Roman"/>
        </w:rPr>
        <w:t>X </w:t>
      </w:r>
      <w:r>
        <w:rPr/>
        <w:t>线、磁共振、荧光</w:t>
      </w:r>
      <w:r>
        <w:rPr>
          <w:spacing w:val="-8"/>
        </w:rPr>
        <w:t>等多种成像功能，并将其应用于“吸入式”肺癌多模式分子成像研究中。结果表明，“吸入</w:t>
      </w:r>
      <w:r>
        <w:rPr>
          <w:spacing w:val="-17"/>
        </w:rPr>
        <w:t>式”研究组 </w:t>
      </w:r>
      <w:r>
        <w:rPr>
          <w:rFonts w:ascii="Times New Roman" w:hAnsi="Times New Roman" w:eastAsia="Times New Roman"/>
        </w:rPr>
        <w:t>12 </w:t>
      </w:r>
      <w:r>
        <w:rPr>
          <w:spacing w:val="-4"/>
        </w:rPr>
        <w:t>小时内肿瘤显像渐进增强，磁共振信号提高 </w:t>
      </w:r>
      <w:r>
        <w:rPr>
          <w:rFonts w:ascii="Times New Roman" w:hAnsi="Times New Roman" w:eastAsia="Times New Roman"/>
        </w:rPr>
        <w:t>214%</w:t>
      </w:r>
      <w:r>
        <w:rPr>
          <w:spacing w:val="-9"/>
        </w:rPr>
        <w:t>，并且在长达 </w:t>
      </w:r>
      <w:r>
        <w:rPr>
          <w:rFonts w:ascii="Times New Roman" w:hAnsi="Times New Roman" w:eastAsia="Times New Roman"/>
        </w:rPr>
        <w:t>72 </w:t>
      </w:r>
      <w:r>
        <w:rPr/>
        <w:t>小时的检</w:t>
      </w:r>
      <w:r>
        <w:rPr>
          <w:spacing w:val="-9"/>
        </w:rPr>
        <w:t>测时间内，肿瘤区信号均持续增强，因此更加精准地“锁定”了肺癌异常分子变化。“静脉</w:t>
      </w:r>
      <w:r>
        <w:rPr>
          <w:spacing w:val="-15"/>
        </w:rPr>
        <w:t>注射”对照组仅在 </w:t>
      </w:r>
      <w:r>
        <w:rPr>
          <w:rFonts w:ascii="Times New Roman" w:hAnsi="Times New Roman" w:eastAsia="Times New Roman"/>
        </w:rPr>
        <w:t>2 </w:t>
      </w:r>
      <w:r>
        <w:rPr>
          <w:spacing w:val="-17"/>
        </w:rPr>
        <w:t>小时内有轻度、暂时信号增强，而不能有效确认肺癌内重要的分子改变。</w:t>
      </w:r>
    </w:p>
    <w:p>
      <w:pPr>
        <w:pStyle w:val="Heading2"/>
        <w:spacing w:before="32"/>
        <w:ind w:left="2877"/>
      </w:pPr>
      <w:bookmarkStart w:name="_TOC_250031" w:id="14"/>
      <w:bookmarkEnd w:id="14"/>
      <w:r>
        <w:rPr/>
        <w:t>骨关节退行性改变研究获突破</w:t>
      </w:r>
    </w:p>
    <w:p>
      <w:pPr>
        <w:pStyle w:val="Heading3"/>
        <w:spacing w:before="146"/>
        <w:ind w:left="217" w:right="1130"/>
        <w:jc w:val="right"/>
      </w:pPr>
      <w:r>
        <w:rPr>
          <w:color w:val="FF0000"/>
          <w:w w:val="95"/>
        </w:rPr>
        <w:t>（来源：健康报）</w:t>
      </w:r>
    </w:p>
    <w:p>
      <w:pPr>
        <w:pStyle w:val="BodyText"/>
        <w:spacing w:line="280" w:lineRule="auto" w:before="81"/>
        <w:ind w:right="1126" w:firstLine="480"/>
        <w:jc w:val="both"/>
      </w:pPr>
      <w:r>
        <w:rPr>
          <w:spacing w:val="-8"/>
        </w:rPr>
        <w:t>日前从东南大学附属中大医院获悉，该院骨外科陆军副教授团队，历时 </w:t>
      </w:r>
      <w:r>
        <w:rPr>
          <w:rFonts w:ascii="Times New Roman" w:hAnsi="Times New Roman" w:eastAsia="Times New Roman"/>
        </w:rPr>
        <w:t>5 </w:t>
      </w:r>
      <w:r>
        <w:rPr>
          <w:spacing w:val="-3"/>
        </w:rPr>
        <w:t>年多在骨关节</w:t>
      </w:r>
      <w:r>
        <w:rPr>
          <w:spacing w:val="-9"/>
        </w:rPr>
        <w:t>退行性改变致病机制研究方面获得重要进展，首次阐明 </w:t>
      </w:r>
      <w:r>
        <w:rPr>
          <w:rFonts w:ascii="Times New Roman" w:hAnsi="Times New Roman" w:eastAsia="Times New Roman"/>
        </w:rPr>
        <w:t>miR-141/SIRT1/NF-</w:t>
      </w:r>
      <w:r>
        <w:rPr>
          <w:rFonts w:ascii="Calibri" w:hAnsi="Calibri" w:eastAsia="Calibri"/>
        </w:rPr>
        <w:t>κ</w:t>
      </w:r>
      <w:r>
        <w:rPr>
          <w:rFonts w:ascii="Times New Roman" w:hAnsi="Times New Roman" w:eastAsia="Times New Roman"/>
        </w:rPr>
        <w:t>B </w:t>
      </w:r>
      <w:r>
        <w:rPr/>
        <w:t>信号调控轴在</w:t>
      </w:r>
      <w:r>
        <w:rPr>
          <w:spacing w:val="-18"/>
        </w:rPr>
        <w:t>椎间盘退变中的作用，从而为预防和治疗椎间盘退变提供了新思路。研究论文近日发表在《自然</w:t>
      </w:r>
      <w:r>
        <w:rPr>
          <w:rFonts w:ascii="Calibri" w:hAnsi="Calibri" w:eastAsia="Calibri"/>
          <w:spacing w:val="-18"/>
        </w:rPr>
        <w:t>·</w:t>
      </w:r>
      <w:r>
        <w:rPr>
          <w:spacing w:val="-18"/>
        </w:rPr>
        <w:t>通讯》上。</w:t>
      </w:r>
    </w:p>
    <w:p>
      <w:pPr>
        <w:pStyle w:val="BodyText"/>
        <w:spacing w:line="280" w:lineRule="auto" w:before="1"/>
        <w:ind w:right="1127" w:firstLine="480"/>
        <w:jc w:val="both"/>
        <w:rPr>
          <w:rFonts w:ascii="Times New Roman" w:eastAsia="Times New Roman"/>
        </w:rPr>
      </w:pPr>
      <w:r>
        <w:rPr>
          <w:spacing w:val="-10"/>
        </w:rPr>
        <w:t>据介绍，椎间盘退变是指髓核、纤维环及软骨终板等椎间盘各个组织的老化退变，是一</w:t>
      </w:r>
      <w:r>
        <w:rPr>
          <w:spacing w:val="-8"/>
        </w:rPr>
        <w:t>系列脊柱退行性疾病的病理基础。椎间盘退变相关疾病是人类劳动能力丧失和生活质量下降</w:t>
      </w:r>
      <w:r>
        <w:rPr>
          <w:spacing w:val="-10"/>
        </w:rPr>
        <w:t>最常见的原因，给家庭和社会带来沉重的经济负担。陆军研究团队为揭示椎间盘退变具体发</w:t>
      </w:r>
      <w:r>
        <w:rPr>
          <w:spacing w:val="-26"/>
        </w:rPr>
        <w:t>病机制，采用 </w:t>
      </w:r>
      <w:r>
        <w:rPr>
          <w:rFonts w:ascii="Times New Roman" w:eastAsia="Times New Roman"/>
        </w:rPr>
        <w:t>microRNA </w:t>
      </w:r>
      <w:r>
        <w:rPr>
          <w:spacing w:val="-8"/>
        </w:rPr>
        <w:t>芯片技术及定量 </w:t>
      </w:r>
      <w:r>
        <w:rPr>
          <w:rFonts w:ascii="Times New Roman" w:eastAsia="Times New Roman"/>
        </w:rPr>
        <w:t>PCR </w:t>
      </w:r>
      <w:r>
        <w:rPr>
          <w:spacing w:val="-19"/>
        </w:rPr>
        <w:t>技术，确定致病因子即 </w:t>
      </w:r>
      <w:r>
        <w:rPr>
          <w:rFonts w:ascii="Times New Roman" w:eastAsia="Times New Roman"/>
        </w:rPr>
        <w:t>miR-141</w:t>
      </w:r>
      <w:r>
        <w:rPr>
          <w:spacing w:val="-44"/>
        </w:rPr>
        <w:t>。观察 </w:t>
      </w:r>
      <w:r>
        <w:rPr>
          <w:rFonts w:ascii="Times New Roman" w:eastAsia="Times New Roman"/>
        </w:rPr>
        <w:t>miR-141</w:t>
      </w:r>
    </w:p>
    <w:p>
      <w:pPr>
        <w:pStyle w:val="BodyText"/>
        <w:spacing w:line="280" w:lineRule="auto" w:before="1"/>
        <w:ind w:right="1128"/>
      </w:pPr>
      <w:r>
        <w:rPr>
          <w:rFonts w:ascii="Times New Roman" w:hAnsi="Times New Roman" w:eastAsia="Times New Roman"/>
        </w:rPr>
        <w:t>KO </w:t>
      </w:r>
      <w:r>
        <w:rPr>
          <w:spacing w:val="-6"/>
        </w:rPr>
        <w:t>小鼠的椎间盘退变自然史发现，沉默 </w:t>
      </w:r>
      <w:r>
        <w:rPr>
          <w:rFonts w:ascii="Times New Roman" w:hAnsi="Times New Roman" w:eastAsia="Times New Roman"/>
        </w:rPr>
        <w:t>miR-141 </w:t>
      </w:r>
      <w:r>
        <w:rPr>
          <w:spacing w:val="-3"/>
        </w:rPr>
        <w:t>可避免椎间盘发生退变。进一步体外研究</w:t>
      </w:r>
      <w:r>
        <w:rPr/>
        <w:t>发现，</w:t>
      </w:r>
      <w:r>
        <w:rPr>
          <w:rFonts w:ascii="Times New Roman" w:hAnsi="Times New Roman" w:eastAsia="Times New Roman"/>
        </w:rPr>
        <w:t>miR-141 </w:t>
      </w:r>
      <w:r>
        <w:rPr/>
        <w:t>可显著影响髓核细胞的表型。基因表达谱芯片及生物信息学研究发现， </w:t>
      </w:r>
      <w:r>
        <w:rPr>
          <w:rFonts w:ascii="Times New Roman" w:hAnsi="Times New Roman" w:eastAsia="Times New Roman"/>
        </w:rPr>
        <w:t>miR-141 </w:t>
      </w:r>
      <w:r>
        <w:rPr>
          <w:spacing w:val="-13"/>
        </w:rPr>
        <w:t>靶向调控 </w:t>
      </w:r>
      <w:r>
        <w:rPr>
          <w:rFonts w:ascii="Times New Roman" w:hAnsi="Times New Roman" w:eastAsia="Times New Roman"/>
        </w:rPr>
        <w:t>SIRT1/NF-</w:t>
      </w:r>
      <w:r>
        <w:rPr>
          <w:rFonts w:ascii="Calibri" w:hAnsi="Calibri" w:eastAsia="Calibri"/>
        </w:rPr>
        <w:t>κ</w:t>
      </w:r>
      <w:r>
        <w:rPr>
          <w:rFonts w:ascii="Times New Roman" w:hAnsi="Times New Roman" w:eastAsia="Times New Roman"/>
        </w:rPr>
        <w:t>B </w:t>
      </w:r>
      <w:r>
        <w:rPr/>
        <w:t>信号通路，进而抑制椎间盘的退变。将纳米颗粒包裹的</w:t>
      </w:r>
      <w:r>
        <w:rPr>
          <w:rFonts w:ascii="Times New Roman" w:hAnsi="Times New Roman" w:eastAsia="Times New Roman"/>
        </w:rPr>
        <w:t>miR-141 </w:t>
      </w:r>
      <w:r>
        <w:rPr/>
        <w:t>注入小鼠椎间盘内，可显著抑制椎间盘退变。</w:t>
      </w:r>
    </w:p>
    <w:p>
      <w:pPr>
        <w:pStyle w:val="Heading2"/>
        <w:spacing w:before="125"/>
      </w:pPr>
      <w:bookmarkStart w:name="_TOC_250030" w:id="15"/>
      <w:bookmarkEnd w:id="15"/>
      <w:r>
        <w:rPr/>
        <w:t>【新药看台】</w:t>
      </w:r>
    </w:p>
    <w:p>
      <w:pPr>
        <w:pStyle w:val="BodyText"/>
        <w:spacing w:before="9"/>
        <w:ind w:left="0"/>
        <w:rPr>
          <w:b/>
          <w:sz w:val="22"/>
        </w:rPr>
      </w:pPr>
    </w:p>
    <w:p>
      <w:pPr>
        <w:pStyle w:val="Heading2"/>
        <w:spacing w:before="1"/>
        <w:ind w:left="1753"/>
      </w:pPr>
      <w:bookmarkStart w:name="_TOC_250029" w:id="16"/>
      <w:bookmarkEnd w:id="16"/>
      <w:r>
        <w:rPr/>
        <w:t>研发机构作为持有人的首个中药新药获批上市</w:t>
      </w:r>
    </w:p>
    <w:p>
      <w:pPr>
        <w:pStyle w:val="Heading3"/>
        <w:spacing w:before="145"/>
        <w:ind w:left="217" w:right="1128"/>
        <w:jc w:val="right"/>
      </w:pPr>
      <w:r>
        <w:rPr>
          <w:color w:val="FF0000"/>
          <w:w w:val="95"/>
        </w:rPr>
        <w:t>（来源：中国医药报）</w:t>
      </w:r>
    </w:p>
    <w:p>
      <w:pPr>
        <w:pStyle w:val="BodyText"/>
        <w:spacing w:line="297" w:lineRule="auto" w:before="95"/>
        <w:ind w:right="1126" w:firstLine="480"/>
        <w:jc w:val="both"/>
      </w:pPr>
      <w:r>
        <w:rPr>
          <w:spacing w:val="-8"/>
        </w:rPr>
        <w:t>近日，我国首个由研发机构作为药品上市许可持有人进行委托生产的中药新药品种</w:t>
      </w:r>
      <w:r>
        <w:rPr>
          <w:rFonts w:ascii="Calibri" w:hAnsi="Calibri" w:eastAsia="Calibri"/>
          <w:spacing w:val="-8"/>
        </w:rPr>
        <w:t>—— </w:t>
      </w:r>
      <w:r>
        <w:rPr/>
        <w:t>金蓉颗粒获批上市。</w:t>
      </w:r>
    </w:p>
    <w:p>
      <w:pPr>
        <w:spacing w:after="0" w:line="297" w:lineRule="auto"/>
        <w:jc w:val="both"/>
        <w:sectPr>
          <w:type w:val="continuous"/>
          <w:pgSz w:w="11910" w:h="16850"/>
          <w:pgMar w:top="1080" w:bottom="1020" w:left="1060" w:right="0"/>
        </w:sectPr>
      </w:pPr>
    </w:p>
    <w:p>
      <w:pPr>
        <w:pStyle w:val="BodyText"/>
        <w:spacing w:line="297" w:lineRule="auto" w:before="65"/>
        <w:ind w:right="1130" w:firstLine="480"/>
        <w:jc w:val="both"/>
      </w:pPr>
      <w:r>
        <w:rPr>
          <w:spacing w:val="-10"/>
        </w:rPr>
        <w:t>该药属中药 </w:t>
      </w:r>
      <w:r>
        <w:rPr>
          <w:rFonts w:ascii="Times New Roman" w:eastAsia="Times New Roman"/>
        </w:rPr>
        <w:t>6 </w:t>
      </w:r>
      <w:r>
        <w:rPr>
          <w:spacing w:val="-11"/>
        </w:rPr>
        <w:t>类新药，为中药复方制剂，处方由淫羊藿、肉苁蓉、郁金、丹参等多种药味组成。功能主治为补肾活血，化痰散结，调摄冲任，用于乳腺增生症痰瘀互结、冲任失调证。症见乳房疼痛、触痛，胸胁胀痛，善郁易怒，失眠多梦，神疲乏力，腰膝酸软，舌淡红</w:t>
      </w:r>
      <w:r>
        <w:rPr/>
        <w:t>或青紫或舌边尖有瘀斑，苔白，脉弦细或滑。</w:t>
      </w:r>
    </w:p>
    <w:p>
      <w:pPr>
        <w:pStyle w:val="BodyText"/>
        <w:spacing w:line="297" w:lineRule="auto"/>
        <w:ind w:right="1127" w:firstLine="480"/>
        <w:jc w:val="both"/>
      </w:pPr>
      <w:r>
        <w:rPr>
          <w:spacing w:val="-10"/>
        </w:rPr>
        <w:t>在乳腺外科领域，中医药在长期的临床治疗实践中积累了丰富的经验，有较为独特的治</w:t>
      </w:r>
      <w:r>
        <w:rPr>
          <w:spacing w:val="-11"/>
        </w:rPr>
        <w:t>疗优势。对这样一个易诊、难治、易复发的疾病，中医药通过辨证论治对机体内环境进行整</w:t>
      </w:r>
      <w:r>
        <w:rPr/>
        <w:t>体调节，来缓解疼痛这一核心症状及其他伴随症状，可以更好地满足临床治疗需求。</w:t>
      </w:r>
    </w:p>
    <w:p>
      <w:pPr>
        <w:pStyle w:val="BodyText"/>
        <w:spacing w:before="1"/>
        <w:ind w:left="0"/>
        <w:rPr>
          <w:sz w:val="13"/>
        </w:rPr>
      </w:pPr>
    </w:p>
    <w:p>
      <w:pPr>
        <w:spacing w:after="0"/>
        <w:rPr>
          <w:sz w:val="13"/>
        </w:rPr>
        <w:sectPr>
          <w:pgSz w:w="11910" w:h="16850"/>
          <w:pgMar w:header="906" w:footer="531" w:top="1100" w:bottom="800" w:left="1060" w:right="0"/>
        </w:sectPr>
      </w:pPr>
    </w:p>
    <w:p>
      <w:pPr>
        <w:pStyle w:val="Heading2"/>
        <w:spacing w:before="54"/>
        <w:ind w:left="2715"/>
      </w:pPr>
      <w:bookmarkStart w:name="_TOC_250028" w:id="17"/>
      <w:bookmarkEnd w:id="17"/>
      <w:r>
        <w:rPr>
          <w:spacing w:val="-2"/>
        </w:rPr>
        <w:t>前列腺癌药物泽科新适应证获批</w:t>
      </w:r>
    </w:p>
    <w:p>
      <w:pPr>
        <w:pStyle w:val="BodyText"/>
        <w:ind w:left="0"/>
        <w:rPr>
          <w:b/>
        </w:rPr>
      </w:pPr>
      <w:r>
        <w:rPr/>
        <w:br w:type="column"/>
      </w:r>
      <w:r>
        <w:rPr>
          <w:b/>
        </w:rPr>
      </w:r>
    </w:p>
    <w:p>
      <w:pPr>
        <w:pStyle w:val="BodyText"/>
        <w:spacing w:before="8"/>
        <w:ind w:left="0"/>
        <w:rPr>
          <w:b/>
          <w:sz w:val="23"/>
        </w:rPr>
      </w:pPr>
    </w:p>
    <w:p>
      <w:pPr>
        <w:pStyle w:val="Heading3"/>
        <w:ind w:left="536"/>
      </w:pPr>
      <w:r>
        <w:rPr>
          <w:color w:val="FF0000"/>
        </w:rPr>
        <w:t>（来源：健康报）</w:t>
      </w:r>
    </w:p>
    <w:p>
      <w:pPr>
        <w:spacing w:after="0"/>
        <w:sectPr>
          <w:type w:val="continuous"/>
          <w:pgSz w:w="11910" w:h="16850"/>
          <w:pgMar w:top="1080" w:bottom="1020" w:left="1060" w:right="0"/>
          <w:cols w:num="2" w:equalWidth="0">
            <w:col w:w="7212" w:space="40"/>
            <w:col w:w="3598"/>
          </w:cols>
        </w:sectPr>
      </w:pPr>
    </w:p>
    <w:p>
      <w:pPr>
        <w:pStyle w:val="BodyText"/>
        <w:spacing w:line="297" w:lineRule="auto" w:before="98"/>
        <w:ind w:right="1127" w:firstLine="480"/>
        <w:jc w:val="both"/>
      </w:pPr>
      <w:r>
        <w:rPr>
          <w:spacing w:val="-8"/>
        </w:rPr>
        <w:t>近日，西安杨森制药有限公司在京宣布，旗下泽珂</w:t>
      </w:r>
      <w:r>
        <w:rPr/>
        <w:t>（醋酸阿比特龙片</w:t>
      </w:r>
      <w:r>
        <w:rPr>
          <w:spacing w:val="-27"/>
        </w:rPr>
        <w:t>）</w:t>
      </w:r>
      <w:r>
        <w:rPr/>
        <w:t>新适应证获国家</w:t>
      </w:r>
      <w:r>
        <w:rPr>
          <w:spacing w:val="-9"/>
        </w:rPr>
        <w:t>药品监督管理局批准，用于与泼尼松或泼尼松龙合用，治疗新诊断的高危转移性内分泌治疗</w:t>
      </w:r>
      <w:r>
        <w:rPr/>
        <w:t>敏感性前列腺癌（</w:t>
      </w:r>
      <w:r>
        <w:rPr>
          <w:rFonts w:ascii="Times New Roman" w:eastAsia="Times New Roman"/>
        </w:rPr>
        <w:t>mHSPC</w:t>
      </w:r>
      <w:r>
        <w:rPr/>
        <w:t>），</w:t>
      </w:r>
      <w:r>
        <w:rPr>
          <w:spacing w:val="-4"/>
        </w:rPr>
        <w:t>包括未接受过内分泌治疗或接受内分泌治疗最长不超过 </w:t>
      </w:r>
      <w:r>
        <w:rPr>
          <w:rFonts w:ascii="Times New Roman" w:eastAsia="Times New Roman"/>
        </w:rPr>
        <w:t>3 </w:t>
      </w:r>
      <w:r>
        <w:rPr/>
        <w:t>个</w:t>
      </w:r>
      <w:r>
        <w:rPr>
          <w:spacing w:val="-21"/>
        </w:rPr>
        <w:t>月的 </w:t>
      </w:r>
      <w:r>
        <w:rPr>
          <w:rFonts w:ascii="Times New Roman" w:eastAsia="Times New Roman"/>
        </w:rPr>
        <w:t>mHSPC </w:t>
      </w:r>
      <w:r>
        <w:rPr>
          <w:spacing w:val="-10"/>
        </w:rPr>
        <w:t>患者。这是继 </w:t>
      </w:r>
      <w:r>
        <w:rPr>
          <w:rFonts w:ascii="Times New Roman" w:eastAsia="Times New Roman"/>
        </w:rPr>
        <w:t>2015 </w:t>
      </w:r>
      <w:r>
        <w:rPr>
          <w:spacing w:val="-30"/>
        </w:rPr>
        <w:t>年 </w:t>
      </w:r>
      <w:r>
        <w:rPr>
          <w:rFonts w:ascii="Times New Roman" w:eastAsia="Times New Roman"/>
        </w:rPr>
        <w:t>5 </w:t>
      </w:r>
      <w:r>
        <w:rPr/>
        <w:t>月被批准与泼尼松联用治疗转移性去势抵抗性前列腺癌（</w:t>
      </w:r>
      <w:r>
        <w:rPr>
          <w:rFonts w:ascii="Times New Roman" w:eastAsia="Times New Roman"/>
        </w:rPr>
        <w:t>mCRPC</w:t>
      </w:r>
      <w:r>
        <w:rPr/>
        <w:t>）</w:t>
      </w:r>
      <w:r>
        <w:rPr>
          <w:spacing w:val="-1"/>
        </w:rPr>
        <w:t>后，泽珂在中国获批的又一适应证。</w:t>
      </w:r>
    </w:p>
    <w:p>
      <w:pPr>
        <w:pStyle w:val="BodyText"/>
        <w:spacing w:line="299" w:lineRule="exact"/>
        <w:ind w:left="697"/>
      </w:pPr>
      <w:r>
        <w:rPr/>
        <w:t>西安交通大学第一附属医院的贺大林教授表示，此次泽珂新适应证的获批为中国高危</w:t>
      </w:r>
    </w:p>
    <w:p>
      <w:pPr>
        <w:pStyle w:val="BodyText"/>
        <w:spacing w:line="297" w:lineRule="auto" w:before="74"/>
        <w:ind w:right="1127"/>
        <w:jc w:val="both"/>
      </w:pPr>
      <w:r>
        <w:rPr>
          <w:rFonts w:ascii="Times New Roman" w:eastAsia="Times New Roman"/>
        </w:rPr>
        <w:t>mHSPC </w:t>
      </w:r>
      <w:r>
        <w:rPr>
          <w:spacing w:val="-1"/>
        </w:rPr>
        <w:t>患者提供了一种重要的创新治疗选择。研究数据显示，泽珂与泼尼松或泼尼松龙和</w:t>
      </w:r>
      <w:r>
        <w:rPr>
          <w:spacing w:val="-8"/>
        </w:rPr>
        <w:t>去势治疗联用可在延长生存时间、阻止疾病进展、提高生活质量等方面，综合改善新诊断的</w:t>
      </w:r>
      <w:r>
        <w:rPr>
          <w:spacing w:val="-20"/>
        </w:rPr>
        <w:t>高危 </w:t>
      </w:r>
      <w:r>
        <w:rPr>
          <w:rFonts w:ascii="Times New Roman" w:eastAsia="Times New Roman"/>
        </w:rPr>
        <w:t>mHSPC </w:t>
      </w:r>
      <w:r>
        <w:rPr>
          <w:spacing w:val="-7"/>
        </w:rPr>
        <w:t>患者的总体生存获益。此外，阿比特龙与泼尼松或泼尼松龙和去势治疗联用已</w:t>
      </w:r>
      <w:r>
        <w:rPr>
          <w:spacing w:val="-4"/>
        </w:rPr>
        <w:t>被国内外多个治疗指南推荐用于治疗 </w:t>
      </w:r>
      <w:r>
        <w:rPr>
          <w:rFonts w:ascii="Times New Roman" w:eastAsia="Times New Roman"/>
        </w:rPr>
        <w:t>mHSPC</w:t>
      </w:r>
      <w:r>
        <w:rPr/>
        <w:t>，已经成为该疾病的标准治疗方案。</w:t>
      </w:r>
    </w:p>
    <w:p>
      <w:pPr>
        <w:pStyle w:val="Heading1"/>
        <w:spacing w:line="619" w:lineRule="exact"/>
        <w:ind w:left="125"/>
        <w:jc w:val="center"/>
        <w:rPr>
          <w:u w:val="none"/>
        </w:rPr>
      </w:pPr>
      <w:bookmarkStart w:name="_TOC_250027" w:id="18"/>
      <w:r>
        <w:rPr>
          <w:rFonts w:ascii="Times New Roman" w:eastAsia="Times New Roman"/>
          <w:color w:val="008000"/>
          <w:spacing w:val="-110"/>
          <w:w w:val="99"/>
          <w:u w:val="thick" w:color="008000"/>
        </w:rPr>
        <w:t> </w:t>
      </w:r>
      <w:bookmarkEnd w:id="18"/>
      <w:r>
        <w:rPr>
          <w:color w:val="008000"/>
          <w:u w:val="thick" w:color="008000"/>
        </w:rPr>
        <w:t>合理用药</w:t>
      </w:r>
    </w:p>
    <w:p>
      <w:pPr>
        <w:pStyle w:val="Heading2"/>
        <w:spacing w:before="140"/>
      </w:pPr>
      <w:bookmarkStart w:name="_TOC_250026" w:id="19"/>
      <w:bookmarkEnd w:id="19"/>
      <w:r>
        <w:rPr/>
        <w:t>【临床药师】</w:t>
      </w:r>
    </w:p>
    <w:p>
      <w:pPr>
        <w:pStyle w:val="BodyText"/>
        <w:spacing w:before="11"/>
        <w:ind w:left="0"/>
        <w:rPr>
          <w:b/>
          <w:sz w:val="22"/>
        </w:rPr>
      </w:pPr>
    </w:p>
    <w:p>
      <w:pPr>
        <w:pStyle w:val="Heading2"/>
        <w:spacing w:before="1"/>
        <w:ind w:left="2192"/>
      </w:pPr>
      <w:bookmarkStart w:name="_TOC_250025" w:id="20"/>
      <w:bookmarkEnd w:id="20"/>
      <w:r>
        <w:rPr/>
        <w:t>2018 年临床药学相关十件大事评选揭晓</w:t>
      </w:r>
    </w:p>
    <w:p>
      <w:pPr>
        <w:pStyle w:val="Heading3"/>
        <w:spacing w:before="145"/>
        <w:ind w:left="7305"/>
      </w:pPr>
      <w:r>
        <w:rPr>
          <w:color w:val="FF0000"/>
        </w:rPr>
        <w:t>（来源：临床药师网）</w:t>
      </w:r>
    </w:p>
    <w:p>
      <w:pPr>
        <w:pStyle w:val="BodyText"/>
        <w:spacing w:line="295" w:lineRule="auto" w:before="98"/>
        <w:ind w:right="1129" w:firstLine="468"/>
      </w:pPr>
      <w:r>
        <w:rPr>
          <w:spacing w:val="-8"/>
        </w:rPr>
        <w:t>经临床药师网</w:t>
      </w:r>
      <w:r>
        <w:rPr>
          <w:spacing w:val="-4"/>
        </w:rPr>
        <w:t>（</w:t>
      </w:r>
      <w:hyperlink r:id="rId9">
        <w:r>
          <w:rPr>
            <w:rFonts w:ascii="Calibri" w:eastAsia="Calibri"/>
            <w:spacing w:val="-4"/>
          </w:rPr>
          <w:t>www.linyao.net</w:t>
        </w:r>
      </w:hyperlink>
      <w:r>
        <w:rPr>
          <w:spacing w:val="-4"/>
        </w:rPr>
        <w:t>）</w:t>
      </w:r>
      <w:r>
        <w:rPr>
          <w:spacing w:val="-6"/>
        </w:rPr>
        <w:t>会员提名并投票评选出的 </w:t>
      </w:r>
      <w:r>
        <w:rPr>
          <w:rFonts w:ascii="Calibri" w:eastAsia="Calibri"/>
        </w:rPr>
        <w:t>2018 </w:t>
      </w:r>
      <w:r>
        <w:rPr>
          <w:spacing w:val="-2"/>
        </w:rPr>
        <w:t>年临床药学相关十件大事如下（按得票高低顺序）：</w:t>
      </w:r>
    </w:p>
    <w:p>
      <w:pPr>
        <w:pStyle w:val="ListParagraph"/>
        <w:numPr>
          <w:ilvl w:val="0"/>
          <w:numId w:val="2"/>
        </w:numPr>
        <w:tabs>
          <w:tab w:pos="870" w:val="left" w:leader="none"/>
        </w:tabs>
        <w:spacing w:line="240" w:lineRule="auto" w:before="2" w:after="0"/>
        <w:ind w:left="869" w:right="0" w:hanging="184"/>
        <w:jc w:val="left"/>
        <w:rPr>
          <w:sz w:val="24"/>
        </w:rPr>
      </w:pPr>
      <w:r>
        <w:rPr>
          <w:sz w:val="24"/>
        </w:rPr>
        <w:t>《医疗机构处方审核规范》发布</w:t>
      </w:r>
    </w:p>
    <w:p>
      <w:pPr>
        <w:pStyle w:val="ListParagraph"/>
        <w:numPr>
          <w:ilvl w:val="0"/>
          <w:numId w:val="2"/>
        </w:numPr>
        <w:tabs>
          <w:tab w:pos="870" w:val="left" w:leader="none"/>
        </w:tabs>
        <w:spacing w:line="240" w:lineRule="auto" w:before="75" w:after="0"/>
        <w:ind w:left="869" w:right="0" w:hanging="184"/>
        <w:jc w:val="left"/>
        <w:rPr>
          <w:sz w:val="24"/>
        </w:rPr>
      </w:pPr>
      <w:r>
        <w:rPr>
          <w:sz w:val="24"/>
        </w:rPr>
        <w:t>《关于加快药学服务高质量发展的意见》印发</w:t>
      </w:r>
    </w:p>
    <w:p>
      <w:pPr>
        <w:pStyle w:val="ListParagraph"/>
        <w:numPr>
          <w:ilvl w:val="0"/>
          <w:numId w:val="2"/>
        </w:numPr>
        <w:tabs>
          <w:tab w:pos="870" w:val="left" w:leader="none"/>
        </w:tabs>
        <w:spacing w:line="240" w:lineRule="auto" w:before="71" w:after="0"/>
        <w:ind w:left="869" w:right="0" w:hanging="184"/>
        <w:jc w:val="left"/>
        <w:rPr>
          <w:sz w:val="24"/>
        </w:rPr>
      </w:pPr>
      <w:r>
        <w:rPr>
          <w:sz w:val="24"/>
        </w:rPr>
        <w:t>国家卫健委发布《关于做好辅助用药临床应用管理有关工作的通知》</w:t>
      </w:r>
    </w:p>
    <w:p>
      <w:pPr>
        <w:pStyle w:val="ListParagraph"/>
        <w:numPr>
          <w:ilvl w:val="0"/>
          <w:numId w:val="2"/>
        </w:numPr>
        <w:tabs>
          <w:tab w:pos="870" w:val="left" w:leader="none"/>
        </w:tabs>
        <w:spacing w:line="240" w:lineRule="auto" w:before="72" w:after="0"/>
        <w:ind w:left="869" w:right="0" w:hanging="184"/>
        <w:jc w:val="left"/>
        <w:rPr>
          <w:sz w:val="24"/>
        </w:rPr>
      </w:pPr>
      <w:r>
        <w:rPr>
          <w:sz w:val="24"/>
        </w:rPr>
        <w:t>《国家基本药物目录</w:t>
      </w:r>
      <w:r>
        <w:rPr>
          <w:rFonts w:ascii="Calibri" w:eastAsia="Calibri"/>
          <w:sz w:val="24"/>
        </w:rPr>
        <w:t>(2018</w:t>
      </w:r>
      <w:r>
        <w:rPr>
          <w:rFonts w:ascii="Calibri" w:eastAsia="Calibri"/>
          <w:spacing w:val="6"/>
          <w:sz w:val="24"/>
        </w:rPr>
        <w:t> </w:t>
      </w:r>
      <w:r>
        <w:rPr>
          <w:sz w:val="24"/>
        </w:rPr>
        <w:t>年版</w:t>
      </w:r>
      <w:r>
        <w:rPr>
          <w:rFonts w:ascii="Calibri" w:eastAsia="Calibri"/>
          <w:sz w:val="24"/>
        </w:rPr>
        <w:t>)</w:t>
      </w:r>
      <w:r>
        <w:rPr>
          <w:sz w:val="24"/>
        </w:rPr>
        <w:t>》发布</w:t>
      </w:r>
    </w:p>
    <w:p>
      <w:pPr>
        <w:pStyle w:val="ListParagraph"/>
        <w:numPr>
          <w:ilvl w:val="0"/>
          <w:numId w:val="2"/>
        </w:numPr>
        <w:tabs>
          <w:tab w:pos="870" w:val="left" w:leader="none"/>
        </w:tabs>
        <w:spacing w:line="240" w:lineRule="auto" w:before="74" w:after="0"/>
        <w:ind w:left="869" w:right="0" w:hanging="184"/>
        <w:jc w:val="left"/>
        <w:rPr>
          <w:sz w:val="24"/>
        </w:rPr>
      </w:pPr>
      <w:r>
        <w:rPr>
          <w:sz w:val="24"/>
        </w:rPr>
        <w:t>《中国总药师制度专家共识》（</w:t>
      </w:r>
      <w:r>
        <w:rPr>
          <w:rFonts w:ascii="Calibri" w:eastAsia="Calibri"/>
          <w:sz w:val="24"/>
        </w:rPr>
        <w:t>2018</w:t>
      </w:r>
      <w:r>
        <w:rPr>
          <w:sz w:val="24"/>
        </w:rPr>
        <w:t>）发布</w:t>
      </w:r>
    </w:p>
    <w:p>
      <w:pPr>
        <w:pStyle w:val="ListParagraph"/>
        <w:numPr>
          <w:ilvl w:val="0"/>
          <w:numId w:val="2"/>
        </w:numPr>
        <w:tabs>
          <w:tab w:pos="870" w:val="left" w:leader="none"/>
        </w:tabs>
        <w:spacing w:line="240" w:lineRule="auto" w:before="72" w:after="0"/>
        <w:ind w:left="869" w:right="0" w:hanging="184"/>
        <w:jc w:val="left"/>
        <w:rPr>
          <w:sz w:val="24"/>
        </w:rPr>
      </w:pPr>
      <w:r>
        <w:rPr>
          <w:sz w:val="24"/>
        </w:rPr>
        <w:t>全国多地的医院探索开设药师门诊</w:t>
      </w:r>
    </w:p>
    <w:p>
      <w:pPr>
        <w:pStyle w:val="ListParagraph"/>
        <w:numPr>
          <w:ilvl w:val="0"/>
          <w:numId w:val="2"/>
        </w:numPr>
        <w:tabs>
          <w:tab w:pos="923" w:val="left" w:leader="none"/>
        </w:tabs>
        <w:spacing w:line="240" w:lineRule="auto" w:before="72" w:after="0"/>
        <w:ind w:left="922" w:right="0" w:hanging="237"/>
        <w:jc w:val="left"/>
        <w:rPr>
          <w:rFonts w:ascii="Calibri" w:eastAsia="Calibri"/>
          <w:sz w:val="24"/>
        </w:rPr>
      </w:pPr>
      <w:r>
        <w:rPr>
          <w:rFonts w:ascii="Calibri" w:eastAsia="Calibri"/>
          <w:sz w:val="24"/>
        </w:rPr>
        <w:t>2018</w:t>
      </w:r>
      <w:r>
        <w:rPr>
          <w:spacing w:val="-1"/>
          <w:sz w:val="24"/>
        </w:rPr>
        <w:t>《抗菌药物药代动力学</w:t>
      </w:r>
      <w:r>
        <w:rPr>
          <w:rFonts w:ascii="Calibri" w:eastAsia="Calibri"/>
          <w:sz w:val="24"/>
        </w:rPr>
        <w:t>/</w:t>
      </w:r>
      <w:r>
        <w:rPr>
          <w:spacing w:val="-4"/>
          <w:sz w:val="24"/>
        </w:rPr>
        <w:t>药效学理论临床应用专家共识》发布 </w:t>
      </w:r>
      <w:r>
        <w:rPr>
          <w:rFonts w:ascii="Calibri" w:eastAsia="Calibri"/>
          <w:sz w:val="24"/>
        </w:rPr>
        <w:t>7</w:t>
      </w:r>
    </w:p>
    <w:p>
      <w:pPr>
        <w:pStyle w:val="ListParagraph"/>
        <w:numPr>
          <w:ilvl w:val="0"/>
          <w:numId w:val="2"/>
        </w:numPr>
        <w:tabs>
          <w:tab w:pos="870" w:val="left" w:leader="none"/>
        </w:tabs>
        <w:spacing w:line="240" w:lineRule="auto" w:before="74" w:after="0"/>
        <w:ind w:left="869" w:right="0" w:hanging="184"/>
        <w:jc w:val="left"/>
        <w:rPr>
          <w:sz w:val="24"/>
        </w:rPr>
      </w:pPr>
      <w:r>
        <w:rPr>
          <w:spacing w:val="-3"/>
          <w:sz w:val="24"/>
        </w:rPr>
        <w:t>《关于印发碳青霉烯类抗菌药物临床应用专家共识等 </w:t>
      </w:r>
      <w:r>
        <w:rPr>
          <w:rFonts w:ascii="Calibri" w:eastAsia="Calibri"/>
          <w:sz w:val="24"/>
        </w:rPr>
        <w:t>3</w:t>
      </w:r>
      <w:r>
        <w:rPr>
          <w:rFonts w:ascii="Calibri" w:eastAsia="Calibri"/>
          <w:spacing w:val="6"/>
          <w:sz w:val="24"/>
        </w:rPr>
        <w:t> </w:t>
      </w:r>
      <w:r>
        <w:rPr>
          <w:sz w:val="24"/>
        </w:rPr>
        <w:t>个技术文件的通知》发布</w:t>
      </w:r>
    </w:p>
    <w:p>
      <w:pPr>
        <w:pStyle w:val="BodyText"/>
        <w:spacing w:before="72"/>
        <w:ind w:left="685"/>
      </w:pPr>
      <w:r>
        <w:rPr>
          <w:rFonts w:ascii="Calibri" w:eastAsia="Calibri"/>
        </w:rPr>
        <w:t>9.17 </w:t>
      </w:r>
      <w:r>
        <w:rPr/>
        <w:t>种抗癌药纳入国家基本医疗保险、工伤保险和生育保险药品目录乙类范围</w:t>
      </w:r>
    </w:p>
    <w:p>
      <w:pPr>
        <w:pStyle w:val="ListParagraph"/>
        <w:numPr>
          <w:ilvl w:val="0"/>
          <w:numId w:val="3"/>
        </w:numPr>
        <w:tabs>
          <w:tab w:pos="992" w:val="left" w:leader="none"/>
        </w:tabs>
        <w:spacing w:line="240" w:lineRule="auto" w:before="71" w:after="0"/>
        <w:ind w:left="991" w:right="0" w:hanging="306"/>
        <w:jc w:val="left"/>
        <w:rPr>
          <w:sz w:val="24"/>
        </w:rPr>
      </w:pPr>
      <w:r>
        <w:rPr>
          <w:sz w:val="24"/>
        </w:rPr>
        <w:t>《关于持续做好抗菌药物临床应用管理工作的通知》发布</w:t>
      </w:r>
    </w:p>
    <w:p>
      <w:pPr>
        <w:spacing w:after="0" w:line="240" w:lineRule="auto"/>
        <w:jc w:val="left"/>
        <w:rPr>
          <w:sz w:val="24"/>
        </w:rPr>
        <w:sectPr>
          <w:type w:val="continuous"/>
          <w:pgSz w:w="11910" w:h="16850"/>
          <w:pgMar w:top="1080" w:bottom="1020" w:left="1060" w:right="0"/>
        </w:sectPr>
      </w:pPr>
    </w:p>
    <w:p>
      <w:pPr>
        <w:pStyle w:val="Heading2"/>
        <w:spacing w:line="395" w:lineRule="exact"/>
        <w:ind w:left="231"/>
      </w:pPr>
      <w:bookmarkStart w:name="_TOC_250024" w:id="21"/>
      <w:bookmarkEnd w:id="21"/>
      <w:r>
        <w:rPr>
          <w:w w:val="90"/>
        </w:rPr>
        <w:t>注射头孢菌素后发生过敏性休克死亡 头孢菌素注射前到底要不要做皮试？</w:t>
      </w:r>
    </w:p>
    <w:p>
      <w:pPr>
        <w:pStyle w:val="Heading3"/>
        <w:spacing w:before="145"/>
        <w:ind w:left="6823"/>
      </w:pPr>
      <w:r>
        <w:rPr>
          <w:color w:val="FF0000"/>
          <w:w w:val="95"/>
        </w:rPr>
        <w:t>（来源：中国医学论坛报）</w:t>
      </w:r>
    </w:p>
    <w:p>
      <w:pPr>
        <w:spacing w:before="96"/>
        <w:ind w:left="685" w:right="0" w:firstLine="0"/>
        <w:jc w:val="left"/>
        <w:rPr>
          <w:b/>
          <w:sz w:val="24"/>
        </w:rPr>
      </w:pPr>
      <w:r>
        <w:rPr>
          <w:b/>
          <w:sz w:val="24"/>
        </w:rPr>
        <w:t>新闻回顾</w:t>
      </w:r>
    </w:p>
    <w:p>
      <w:pPr>
        <w:pStyle w:val="BodyText"/>
        <w:spacing w:line="295" w:lineRule="auto" w:before="74"/>
        <w:ind w:right="1127" w:firstLine="468"/>
        <w:jc w:val="both"/>
      </w:pPr>
      <w:r>
        <w:rPr>
          <w:rFonts w:ascii="Calibri" w:eastAsia="Calibri"/>
        </w:rPr>
        <w:t>2018 </w:t>
      </w:r>
      <w:r>
        <w:rPr>
          <w:spacing w:val="-32"/>
        </w:rPr>
        <w:t>年 </w:t>
      </w:r>
      <w:r>
        <w:rPr>
          <w:rFonts w:ascii="Calibri" w:eastAsia="Calibri"/>
        </w:rPr>
        <w:t>12 </w:t>
      </w:r>
      <w:r>
        <w:rPr>
          <w:spacing w:val="-30"/>
        </w:rPr>
        <w:t>月 </w:t>
      </w:r>
      <w:r>
        <w:rPr>
          <w:rFonts w:ascii="Calibri" w:eastAsia="Calibri"/>
        </w:rPr>
        <w:t>18 </w:t>
      </w:r>
      <w:r>
        <w:rPr>
          <w:spacing w:val="-2"/>
        </w:rPr>
        <w:t>日，上海交通大学附属同仁医院发生了一起悲剧，患者张某因中耳炎</w:t>
      </w:r>
      <w:r>
        <w:rPr>
          <w:spacing w:val="-22"/>
        </w:rPr>
        <w:t>就诊，在告知医生没有过敏史的前提下，被注射了头孢菌素，两分钟后张某发生过敏性休克， </w:t>
      </w:r>
      <w:r>
        <w:rPr>
          <w:spacing w:val="-18"/>
        </w:rPr>
        <w:t>后经抢救无效死亡，家属质疑，为什么在注射头孢菌素前不做皮试？不可否认，目前很多大</w:t>
      </w:r>
      <w:r>
        <w:rPr>
          <w:spacing w:val="-6"/>
        </w:rPr>
        <w:t>型医院在注射头孢前进行头孢的皮内试验，而且皮试阳性的患者还屡见不鲜，一旦发现皮试</w:t>
      </w:r>
      <w:r>
        <w:rPr>
          <w:spacing w:val="-12"/>
        </w:rPr>
        <w:t>阳性，会立即停止使用所有的头孢类抗生素，这种做法是否可取？假若张某在注射头孢前做</w:t>
      </w:r>
      <w:r>
        <w:rPr/>
        <w:t>了皮试，悲剧是否就不会发生？</w:t>
      </w:r>
    </w:p>
    <w:p>
      <w:pPr>
        <w:pStyle w:val="Heading3"/>
        <w:spacing w:before="11"/>
        <w:ind w:left="685"/>
        <w:rPr>
          <w:rFonts w:ascii="宋体" w:eastAsia="宋体" w:hint="eastAsia"/>
        </w:rPr>
      </w:pPr>
      <w:r>
        <w:rPr>
          <w:rFonts w:ascii="宋体" w:eastAsia="宋体" w:hint="eastAsia"/>
        </w:rPr>
        <w:t>头孢菌素要不要皮试？</w:t>
      </w:r>
    </w:p>
    <w:p>
      <w:pPr>
        <w:pStyle w:val="BodyText"/>
        <w:spacing w:line="297" w:lineRule="auto" w:before="72"/>
        <w:ind w:right="1127" w:firstLine="468"/>
        <w:jc w:val="both"/>
      </w:pPr>
      <w:r>
        <w:rPr>
          <w:spacing w:val="-11"/>
        </w:rPr>
        <w:t>头孢菌素自 </w:t>
      </w:r>
      <w:r>
        <w:rPr>
          <w:rFonts w:ascii="Calibri" w:eastAsia="Calibri"/>
        </w:rPr>
        <w:t>1964 </w:t>
      </w:r>
      <w:r>
        <w:rPr>
          <w:spacing w:val="-2"/>
        </w:rPr>
        <w:t>年问世以来，目前已经发展到第五代，由于其高效、低毒、抗菌谱广</w:t>
      </w:r>
      <w:r>
        <w:rPr>
          <w:spacing w:val="-11"/>
        </w:rPr>
        <w:t>等特点，在临床治疗中应用广泛。与青霉素皮试不同，头孢菌素的皮试方法至今仍未统一和</w:t>
      </w:r>
      <w:r>
        <w:rPr/>
        <w:t>标准化，头孢菌素是否需要皮试这一问题仍然困扰广大医务工作者。</w:t>
      </w:r>
    </w:p>
    <w:p>
      <w:pPr>
        <w:pStyle w:val="BodyText"/>
        <w:spacing w:line="297" w:lineRule="auto"/>
        <w:ind w:right="1127" w:firstLine="468"/>
        <w:jc w:val="both"/>
      </w:pPr>
      <w:r>
        <w:rPr>
          <w:spacing w:val="-8"/>
        </w:rPr>
        <w:t>众所周知，青霉素注射前需要做皮试。而同为</w:t>
      </w:r>
      <w:r>
        <w:rPr>
          <w:rFonts w:ascii="Arial" w:hAnsi="Arial" w:eastAsia="Arial"/>
        </w:rPr>
        <w:t>β </w:t>
      </w:r>
      <w:r>
        <w:rPr>
          <w:spacing w:val="-3"/>
        </w:rPr>
        <w:t>内酰胺类家族的头孢菌素，在使用前做</w:t>
      </w:r>
      <w:r>
        <w:rPr>
          <w:spacing w:val="-11"/>
        </w:rPr>
        <w:t>皮试似乎是顺理成章。更有甚者，临床中有医护人员给患者注射头孢前先做青霉素皮试，若</w:t>
      </w:r>
      <w:r>
        <w:rPr>
          <w:spacing w:val="-7"/>
        </w:rPr>
        <w:t>青霉素皮试出现阳性，则放弃使用头孢，貌似未雨绸缪，防患于未然，但是否有过度谨慎之嫌呢？</w:t>
      </w:r>
    </w:p>
    <w:p>
      <w:pPr>
        <w:pStyle w:val="Heading3"/>
        <w:spacing w:line="302" w:lineRule="exact"/>
        <w:ind w:left="685"/>
        <w:rPr>
          <w:rFonts w:ascii="宋体" w:eastAsia="宋体" w:hint="eastAsia"/>
        </w:rPr>
      </w:pPr>
      <w:r>
        <w:rPr>
          <w:rFonts w:ascii="宋体" w:eastAsia="宋体" w:hint="eastAsia"/>
        </w:rPr>
        <w:t>头孢菌素为何会引起过敏？</w:t>
      </w:r>
    </w:p>
    <w:p>
      <w:pPr>
        <w:pStyle w:val="BodyText"/>
        <w:spacing w:line="295" w:lineRule="auto" w:before="70"/>
        <w:ind w:right="1126" w:firstLine="468"/>
        <w:jc w:val="both"/>
      </w:pPr>
      <w:r>
        <w:rPr>
          <w:spacing w:val="-9"/>
        </w:rPr>
        <w:t>围绕以上疑问，我们先了解一下头孢致敏的机理。头孢菌素的分子结构是由</w:t>
      </w:r>
      <w:r>
        <w:rPr>
          <w:rFonts w:ascii="Arial" w:hAnsi="Arial" w:eastAsia="Arial"/>
        </w:rPr>
        <w:t>β </w:t>
      </w:r>
      <w:r>
        <w:rPr>
          <w:spacing w:val="-3"/>
        </w:rPr>
        <w:t>内酰胺环</w:t>
      </w:r>
      <w:r>
        <w:rPr>
          <w:spacing w:val="-5"/>
        </w:rPr>
        <w:t>与氢化噻嗪环稠合而成。氢化噻嗪环中的双键与</w:t>
      </w:r>
      <w:r>
        <w:rPr>
          <w:rFonts w:ascii="Arial" w:hAnsi="Arial" w:eastAsia="Arial"/>
        </w:rPr>
        <w:t>β </w:t>
      </w:r>
      <w:r>
        <w:rPr>
          <w:spacing w:val="-4"/>
        </w:rPr>
        <w:t>内酰胺环中的氮原子形成的共轭，使</w:t>
      </w:r>
      <w:r>
        <w:rPr>
          <w:rFonts w:ascii="Arial" w:hAnsi="Arial" w:eastAsia="Arial"/>
        </w:rPr>
        <w:t>β </w:t>
      </w:r>
      <w:r>
        <w:rPr>
          <w:spacing w:val="-15"/>
        </w:rPr>
        <w:t>内</w:t>
      </w:r>
      <w:r>
        <w:rPr>
          <w:spacing w:val="-6"/>
        </w:rPr>
        <w:t>酰胺环稳定不易开环。而青霉素类是由</w:t>
      </w:r>
      <w:r>
        <w:rPr>
          <w:rFonts w:ascii="Arial" w:hAnsi="Arial" w:eastAsia="Arial"/>
        </w:rPr>
        <w:t>β </w:t>
      </w:r>
      <w:r>
        <w:rPr>
          <w:spacing w:val="-5"/>
        </w:rPr>
        <w:t>内酰胺环与氢化噻唑环稠合，由于氢化噻唑环张力</w:t>
      </w:r>
      <w:r>
        <w:rPr>
          <w:spacing w:val="-9"/>
        </w:rPr>
        <w:t>大，易水解，使得</w:t>
      </w:r>
      <w:r>
        <w:rPr>
          <w:rFonts w:ascii="Arial" w:hAnsi="Arial" w:eastAsia="Arial"/>
        </w:rPr>
        <w:t>β </w:t>
      </w:r>
      <w:r>
        <w:rPr>
          <w:spacing w:val="-6"/>
        </w:rPr>
        <w:t>内酰胺环不稳定，易开环形成各种衍生物，这些衍生物形成的半抗原容</w:t>
      </w:r>
      <w:r>
        <w:rPr>
          <w:spacing w:val="-14"/>
        </w:rPr>
        <w:t>易导致过敏反应的发生。鉴于头孢分子结构的稳定性，理论上头孢过敏的人群比例应该是不</w:t>
      </w:r>
      <w:r>
        <w:rPr/>
        <w:t>高的。</w:t>
      </w:r>
    </w:p>
    <w:p>
      <w:pPr>
        <w:pStyle w:val="BodyText"/>
        <w:spacing w:line="295" w:lineRule="auto" w:before="11"/>
        <w:ind w:right="1128" w:firstLine="468"/>
        <w:jc w:val="both"/>
      </w:pPr>
      <w:r>
        <w:rPr>
          <w:spacing w:val="-10"/>
        </w:rPr>
        <w:t>理论如此，实际如何？中国复杂的医患关系，尤其是在患者也认定头孢需要做皮试的环境下，大多数医院在注射头孢前仍将皮试列为常规，而且，医护人员也发现头孢皮试阳性患</w:t>
      </w:r>
      <w:r>
        <w:rPr/>
        <w:t>者并不少见，这似乎更增加了头孢皮试的必要性。</w:t>
      </w:r>
    </w:p>
    <w:p>
      <w:pPr>
        <w:pStyle w:val="Heading3"/>
        <w:spacing w:before="6"/>
        <w:ind w:left="685"/>
        <w:rPr>
          <w:rFonts w:ascii="宋体" w:eastAsia="宋体" w:hint="eastAsia"/>
        </w:rPr>
      </w:pPr>
      <w:r>
        <w:rPr>
          <w:rFonts w:ascii="宋体" w:eastAsia="宋体" w:hint="eastAsia"/>
        </w:rPr>
        <w:t>头孢菌素皮试敏感性如何？</w:t>
      </w:r>
    </w:p>
    <w:p>
      <w:pPr>
        <w:pStyle w:val="BodyText"/>
        <w:spacing w:line="297" w:lineRule="auto" w:before="72"/>
        <w:ind w:right="1126" w:firstLine="468"/>
        <w:jc w:val="both"/>
      </w:pPr>
      <w:r>
        <w:rPr>
          <w:rFonts w:ascii="Calibri" w:eastAsia="Calibri"/>
        </w:rPr>
        <w:t>2013</w:t>
      </w:r>
      <w:r>
        <w:rPr>
          <w:rFonts w:ascii="Calibri" w:eastAsia="Calibri"/>
          <w:spacing w:val="5"/>
        </w:rPr>
        <w:t> </w:t>
      </w:r>
      <w:r>
        <w:rPr>
          <w:spacing w:val="-12"/>
        </w:rPr>
        <w:t>年，韩国蔚山大学医学院过敏与临床免疫中心 </w:t>
      </w:r>
      <w:r>
        <w:rPr>
          <w:rFonts w:ascii="Calibri" w:eastAsia="Calibri"/>
        </w:rPr>
        <w:t>Yoon</w:t>
      </w:r>
      <w:r>
        <w:rPr>
          <w:rFonts w:ascii="Calibri" w:eastAsia="Calibri"/>
          <w:spacing w:val="6"/>
        </w:rPr>
        <w:t> </w:t>
      </w:r>
      <w:r>
        <w:rPr>
          <w:spacing w:val="-16"/>
        </w:rPr>
        <w:t>发表在 </w:t>
      </w:r>
      <w:r>
        <w:rPr>
          <w:rFonts w:ascii="Calibri" w:eastAsia="Calibri"/>
        </w:rPr>
        <w:t>ALLERGY</w:t>
      </w:r>
      <w:r>
        <w:rPr>
          <w:rFonts w:ascii="Calibri" w:eastAsia="Calibri"/>
          <w:spacing w:val="6"/>
        </w:rPr>
        <w:t> </w:t>
      </w:r>
      <w:r>
        <w:rPr/>
        <w:t>上的一项关于</w:t>
      </w:r>
      <w:r>
        <w:rPr>
          <w:spacing w:val="-2"/>
        </w:rPr>
        <w:t>头孢皮试是否能预测头孢所致的速发型过敏反应的前瞻性研究，共纳入 </w:t>
      </w:r>
      <w:r>
        <w:rPr>
          <w:rFonts w:ascii="Calibri" w:eastAsia="Calibri"/>
        </w:rPr>
        <w:t>1421</w:t>
      </w:r>
      <w:r>
        <w:rPr>
          <w:rFonts w:ascii="Calibri" w:eastAsia="Calibri"/>
          <w:spacing w:val="7"/>
        </w:rPr>
        <w:t> </w:t>
      </w:r>
      <w:r>
        <w:rPr/>
        <w:t>例需要注射头</w:t>
      </w:r>
      <w:r>
        <w:rPr>
          <w:spacing w:val="-6"/>
        </w:rPr>
        <w:t>孢菌素的患者，所有患者行头孢菌素</w:t>
      </w:r>
      <w:r>
        <w:rPr/>
        <w:t>（</w:t>
      </w:r>
      <w:r>
        <w:rPr>
          <w:spacing w:val="-7"/>
        </w:rPr>
        <w:t>包括第一代：去甲唑啉头孢菌素，第二代：头孢替坦</w:t>
      </w:r>
      <w:r>
        <w:rPr>
          <w:spacing w:val="-10"/>
        </w:rPr>
        <w:t>和头孢孟多，第三代：头孢曲松和头孢噻肟，第四代：氟氧头孢</w:t>
      </w:r>
      <w:r>
        <w:rPr>
          <w:spacing w:val="-17"/>
        </w:rPr>
        <w:t>）</w:t>
      </w:r>
      <w:r>
        <w:rPr>
          <w:spacing w:val="-5"/>
        </w:rPr>
        <w:t>的皮试，无论皮试的结果</w:t>
      </w:r>
      <w:r>
        <w:rPr>
          <w:spacing w:val="-21"/>
        </w:rPr>
        <w:t>是否为阳性，均静脉注射头孢菌素，备好抢救措施，密切观察患者注射后的反应。结果发现，</w:t>
      </w:r>
    </w:p>
    <w:p>
      <w:pPr>
        <w:pStyle w:val="BodyText"/>
        <w:spacing w:line="302" w:lineRule="exact"/>
      </w:pPr>
      <w:r>
        <w:rPr>
          <w:rFonts w:ascii="Calibri" w:eastAsia="Calibri"/>
          <w:spacing w:val="-1"/>
        </w:rPr>
        <w:t>5.2%</w:t>
      </w:r>
      <w:r>
        <w:rPr>
          <w:spacing w:val="-8"/>
        </w:rPr>
        <w:t>的患者头孢皮试阳性，而阳性患者中无一例在静脉注射时发生速发型过敏反应；反而有</w:t>
      </w:r>
    </w:p>
    <w:p>
      <w:pPr>
        <w:pStyle w:val="BodyText"/>
        <w:spacing w:line="297" w:lineRule="auto" w:before="71"/>
        <w:ind w:right="1008"/>
      </w:pPr>
      <w:r>
        <w:rPr>
          <w:rFonts w:ascii="Calibri" w:eastAsia="Calibri"/>
        </w:rPr>
        <w:t>4 </w:t>
      </w:r>
      <w:r>
        <w:rPr>
          <w:spacing w:val="-15"/>
        </w:rPr>
        <w:t>例头孢皮试阴性的患者，在注射后出现全身皮疹和瘙痒。最后得出头孢皮试的敏感性是</w:t>
      </w:r>
      <w:r>
        <w:rPr>
          <w:rFonts w:ascii="Calibri" w:eastAsia="Calibri"/>
          <w:spacing w:val="-8"/>
        </w:rPr>
        <w:t>0%</w:t>
      </w:r>
      <w:r>
        <w:rPr>
          <w:spacing w:val="-8"/>
        </w:rPr>
        <w:t>， </w:t>
      </w:r>
      <w:r>
        <w:rPr>
          <w:spacing w:val="-13"/>
        </w:rPr>
        <w:t>特异性是 </w:t>
      </w:r>
      <w:r>
        <w:rPr>
          <w:rFonts w:ascii="Calibri" w:eastAsia="Calibri"/>
          <w:spacing w:val="-4"/>
        </w:rPr>
        <w:t>97.5%</w:t>
      </w:r>
      <w:r>
        <w:rPr>
          <w:spacing w:val="-11"/>
        </w:rPr>
        <w:t>，阳性预测值为 </w:t>
      </w:r>
      <w:r>
        <w:rPr>
          <w:rFonts w:ascii="Calibri" w:eastAsia="Calibri"/>
          <w:spacing w:val="-8"/>
        </w:rPr>
        <w:t>0%</w:t>
      </w:r>
      <w:r>
        <w:rPr>
          <w:spacing w:val="-11"/>
        </w:rPr>
        <w:t>，阴性预测值为 </w:t>
      </w:r>
      <w:r>
        <w:rPr>
          <w:rFonts w:ascii="Calibri" w:eastAsia="Calibri"/>
          <w:spacing w:val="-4"/>
        </w:rPr>
        <w:t>99.7%</w:t>
      </w:r>
      <w:r>
        <w:rPr>
          <w:spacing w:val="-5"/>
        </w:rPr>
        <w:t>，由于头孢皮试的敏感性极低，假阳性率太高，作者认为常规头孢皮试对于预测头孢所致的速发型过敏反应并无作用。</w:t>
      </w:r>
    </w:p>
    <w:p>
      <w:pPr>
        <w:spacing w:after="0" w:line="297" w:lineRule="auto"/>
        <w:sectPr>
          <w:pgSz w:w="11910" w:h="16850"/>
          <w:pgMar w:header="906" w:footer="531" w:top="1100" w:bottom="800" w:left="1060" w:right="0"/>
        </w:sectPr>
      </w:pPr>
    </w:p>
    <w:p>
      <w:pPr>
        <w:pStyle w:val="BodyText"/>
        <w:spacing w:line="297" w:lineRule="auto" w:before="65"/>
        <w:ind w:right="1124" w:firstLine="468"/>
        <w:jc w:val="both"/>
      </w:pPr>
      <w:r>
        <w:rPr>
          <w:spacing w:val="-4"/>
        </w:rPr>
        <w:t>除了有大型前瞻性研究支持，其实早在 </w:t>
      </w:r>
      <w:r>
        <w:rPr>
          <w:rFonts w:ascii="Calibri" w:hAnsi="Calibri" w:eastAsia="Calibri"/>
        </w:rPr>
        <w:t>2008 </w:t>
      </w:r>
      <w:r>
        <w:rPr>
          <w:spacing w:val="-30"/>
        </w:rPr>
        <w:t>年 </w:t>
      </w:r>
      <w:r>
        <w:rPr>
          <w:rFonts w:ascii="Calibri" w:hAnsi="Calibri" w:eastAsia="Calibri"/>
        </w:rPr>
        <w:t>6 </w:t>
      </w:r>
      <w:r>
        <w:rPr/>
        <w:t>月北京举办的“头孢类抗菌药物皮肤</w:t>
      </w:r>
      <w:r>
        <w:rPr>
          <w:spacing w:val="-6"/>
        </w:rPr>
        <w:t>过敏试验高端论坛”中的专家共识就已经指出，头孢菌素类的皮试符合率＜</w:t>
      </w:r>
      <w:r>
        <w:rPr>
          <w:rFonts w:ascii="Calibri" w:hAnsi="Calibri" w:eastAsia="Calibri"/>
        </w:rPr>
        <w:t>30</w:t>
      </w:r>
      <w:r>
        <w:rPr>
          <w:rFonts w:ascii="Calibri" w:hAnsi="Calibri" w:eastAsia="Calibri"/>
          <w:spacing w:val="-8"/>
        </w:rPr>
        <w:t> %</w:t>
      </w:r>
      <w:r>
        <w:rPr>
          <w:spacing w:val="-4"/>
        </w:rPr>
        <w:t>，而青霉素</w:t>
      </w:r>
      <w:r>
        <w:rPr>
          <w:spacing w:val="-10"/>
        </w:rPr>
        <w:t>类的皮试符合率可达 </w:t>
      </w:r>
      <w:r>
        <w:rPr>
          <w:rFonts w:ascii="Calibri" w:hAnsi="Calibri" w:eastAsia="Calibri"/>
        </w:rPr>
        <w:t>70 %</w:t>
      </w:r>
      <w:r>
        <w:rPr>
          <w:spacing w:val="-17"/>
        </w:rPr>
        <w:t>。中国药典委员会编写的 </w:t>
      </w:r>
      <w:r>
        <w:rPr>
          <w:rFonts w:ascii="Calibri" w:hAnsi="Calibri" w:eastAsia="Calibri"/>
        </w:rPr>
        <w:t>2015 </w:t>
      </w:r>
      <w:r>
        <w:rPr>
          <w:spacing w:val="-23"/>
        </w:rPr>
        <w:t>版《临床用药须知》和原卫生部 </w:t>
      </w:r>
      <w:r>
        <w:rPr>
          <w:rFonts w:ascii="Calibri" w:hAnsi="Calibri" w:eastAsia="Calibri"/>
        </w:rPr>
        <w:t>2011 </w:t>
      </w:r>
      <w:r>
        <w:rPr>
          <w:spacing w:val="-9"/>
        </w:rPr>
        <w:t>年颁布的《抗菌药物临床应用指导原则》中均未要求对头孢菌素类进行皮试。可是，人命关天，相对于过敏性休克发生的致死性风险，</w:t>
      </w:r>
      <w:r>
        <w:rPr>
          <w:rFonts w:ascii="Calibri" w:hAnsi="Calibri" w:eastAsia="Calibri"/>
          <w:spacing w:val="-9"/>
        </w:rPr>
        <w:t>30%</w:t>
      </w:r>
      <w:r>
        <w:rPr>
          <w:spacing w:val="-9"/>
        </w:rPr>
        <w:t>的比例似乎仍显得太高。</w:t>
      </w:r>
    </w:p>
    <w:p>
      <w:pPr>
        <w:pStyle w:val="Heading3"/>
        <w:spacing w:line="300" w:lineRule="exact"/>
        <w:ind w:left="685"/>
        <w:rPr>
          <w:rFonts w:ascii="宋体" w:eastAsia="宋体" w:hint="eastAsia"/>
        </w:rPr>
      </w:pPr>
      <w:r>
        <w:rPr>
          <w:rFonts w:ascii="宋体" w:eastAsia="宋体" w:hint="eastAsia"/>
        </w:rPr>
        <w:t>头孢菌素过敏反应发生率如何？</w:t>
      </w:r>
    </w:p>
    <w:p>
      <w:pPr>
        <w:pStyle w:val="BodyText"/>
        <w:spacing w:line="297" w:lineRule="auto" w:before="74"/>
        <w:ind w:right="1127" w:firstLine="468"/>
        <w:jc w:val="both"/>
      </w:pPr>
      <w:r>
        <w:rPr>
          <w:spacing w:val="-5"/>
        </w:rPr>
        <w:t>我国开始进行头孢皮试源于 </w:t>
      </w:r>
      <w:r>
        <w:rPr>
          <w:rFonts w:ascii="Calibri" w:hAnsi="Calibri" w:eastAsia="Calibri"/>
        </w:rPr>
        <w:t>1996 </w:t>
      </w:r>
      <w:r>
        <w:rPr>
          <w:spacing w:val="-1"/>
        </w:rPr>
        <w:t>年，浙江某医院发生一起头孢过敏所致的死亡事件， </w:t>
      </w:r>
      <w:r>
        <w:rPr>
          <w:spacing w:val="-10"/>
        </w:rPr>
        <w:t>随后，浙江省卫生部门发文要求头孢进行皮试，尽管缺乏循证依据，头孢皮试依然开始在各</w:t>
      </w:r>
      <w:r>
        <w:rPr/>
        <w:t>大医院开展，</w:t>
      </w:r>
      <w:r>
        <w:rPr>
          <w:rFonts w:ascii="Calibri" w:hAnsi="Calibri" w:eastAsia="Calibri"/>
        </w:rPr>
        <w:t>2003 </w:t>
      </w:r>
      <w:r>
        <w:rPr>
          <w:spacing w:val="-2"/>
        </w:rPr>
        <w:t>年，著名药企罗氏因其经典抗生素头孢曲松钠</w:t>
      </w:r>
      <w:r>
        <w:rPr/>
        <w:t>（商品名：罗氏芬）在全</w:t>
      </w:r>
      <w:r>
        <w:rPr>
          <w:spacing w:val="-7"/>
        </w:rPr>
        <w:t>球发生多起过敏性休克死亡病例，开始在新一版的说明书中警示“给药前须进行皮肤过敏试</w:t>
      </w:r>
      <w:r>
        <w:rPr>
          <w:spacing w:val="-11"/>
        </w:rPr>
        <w:t>验”，至此，头孢皮试的观念开始深入人心。那么，头孢所致的严重过敏反应真实发生率究竟如何呢？</w:t>
      </w:r>
    </w:p>
    <w:p>
      <w:pPr>
        <w:pStyle w:val="BodyText"/>
        <w:spacing w:line="297" w:lineRule="auto"/>
        <w:ind w:right="1127" w:firstLine="468"/>
      </w:pPr>
      <w:r>
        <w:rPr>
          <w:rFonts w:ascii="Calibri" w:eastAsia="Calibri"/>
        </w:rPr>
        <w:t>2018 </w:t>
      </w:r>
      <w:r>
        <w:rPr>
          <w:spacing w:val="-32"/>
        </w:rPr>
        <w:t>年 </w:t>
      </w:r>
      <w:r>
        <w:rPr>
          <w:rFonts w:ascii="Calibri" w:eastAsia="Calibri"/>
        </w:rPr>
        <w:t>9 </w:t>
      </w:r>
      <w:r>
        <w:rPr>
          <w:spacing w:val="-6"/>
        </w:rPr>
        <w:t>月，韩国首尔国立大学医学院 </w:t>
      </w:r>
      <w:r>
        <w:rPr>
          <w:rFonts w:ascii="Calibri" w:eastAsia="Calibri"/>
        </w:rPr>
        <w:t>Min-SukYang </w:t>
      </w:r>
      <w:r>
        <w:rPr>
          <w:spacing w:val="-15"/>
        </w:rPr>
        <w:t>发表在 </w:t>
      </w:r>
      <w:r>
        <w:rPr>
          <w:rFonts w:ascii="Calibri" w:eastAsia="Calibri"/>
        </w:rPr>
        <w:t>ALLERGY </w:t>
      </w:r>
      <w:r>
        <w:rPr/>
        <w:t>上的一项大型多</w:t>
      </w:r>
      <w:r>
        <w:rPr>
          <w:spacing w:val="-9"/>
        </w:rPr>
        <w:t>中心回顾性队列研究，调查了头孢引起的严重过敏反应的发生率，同时评估头孢皮试的临床</w:t>
      </w:r>
      <w:r>
        <w:rPr>
          <w:spacing w:val="-17"/>
        </w:rPr>
        <w:t>作用。结果发现，在 </w:t>
      </w:r>
      <w:r>
        <w:rPr>
          <w:rFonts w:ascii="Calibri" w:eastAsia="Calibri"/>
        </w:rPr>
        <w:t>1123345 </w:t>
      </w:r>
      <w:r>
        <w:rPr>
          <w:spacing w:val="-3"/>
        </w:rPr>
        <w:t>例静脉注射头孢菌素的例次中，</w:t>
      </w:r>
      <w:r>
        <w:rPr>
          <w:rFonts w:ascii="Calibri" w:eastAsia="Calibri"/>
          <w:spacing w:val="-16"/>
        </w:rPr>
        <w:t>76 </w:t>
      </w:r>
      <w:r>
        <w:rPr>
          <w:spacing w:val="-5"/>
        </w:rPr>
        <w:t>例发生了严重过敏反应</w:t>
      </w:r>
      <w:r>
        <w:rPr/>
        <w:t>（相</w:t>
      </w:r>
      <w:r>
        <w:rPr>
          <w:spacing w:val="-16"/>
        </w:rPr>
        <w:t>当于每 </w:t>
      </w:r>
      <w:r>
        <w:rPr>
          <w:rFonts w:ascii="Calibri" w:eastAsia="Calibri"/>
        </w:rPr>
        <w:t>10 </w:t>
      </w:r>
      <w:r>
        <w:rPr>
          <w:spacing w:val="-10"/>
        </w:rPr>
        <w:t>万人次中发生 </w:t>
      </w:r>
      <w:r>
        <w:rPr>
          <w:rFonts w:ascii="Calibri" w:eastAsia="Calibri"/>
        </w:rPr>
        <w:t>6.8 </w:t>
      </w:r>
      <w:r>
        <w:rPr/>
        <w:t>次），</w:t>
      </w:r>
      <w:r>
        <w:rPr>
          <w:spacing w:val="-8"/>
        </w:rPr>
        <w:t>而致死的比例为 </w:t>
      </w:r>
      <w:r>
        <w:rPr>
          <w:rFonts w:ascii="Calibri" w:eastAsia="Calibri"/>
        </w:rPr>
        <w:t>10 </w:t>
      </w:r>
      <w:r>
        <w:rPr>
          <w:spacing w:val="-15"/>
        </w:rPr>
        <w:t>万分之 </w:t>
      </w:r>
      <w:r>
        <w:rPr>
          <w:rFonts w:ascii="Calibri" w:eastAsia="Calibri"/>
        </w:rPr>
        <w:t>0.1</w:t>
      </w:r>
      <w:r>
        <w:rPr/>
        <w:t>，严重不良反应发生率最高的是头孢唑肟，（</w:t>
      </w:r>
      <w:r>
        <w:rPr>
          <w:rFonts w:ascii="Calibri" w:eastAsia="Calibri"/>
        </w:rPr>
        <w:t>10 </w:t>
      </w:r>
      <w:r>
        <w:rPr>
          <w:spacing w:val="-15"/>
        </w:rPr>
        <w:t>万分之 </w:t>
      </w:r>
      <w:r>
        <w:rPr>
          <w:rFonts w:ascii="Calibri" w:eastAsia="Calibri"/>
        </w:rPr>
        <w:t>13</w:t>
      </w:r>
      <w:r>
        <w:rPr/>
        <w:t>）</w:t>
      </w:r>
      <w:r>
        <w:rPr>
          <w:spacing w:val="-1"/>
        </w:rPr>
        <w:t>以及有着相似侧链结构的头孢吡肟、头孢噻肟、头孢曲</w:t>
      </w:r>
      <w:r>
        <w:rPr>
          <w:spacing w:val="-4"/>
        </w:rPr>
        <w:t>松、头孢呋辛</w:t>
      </w:r>
      <w:r>
        <w:rPr/>
        <w:t>（</w:t>
      </w:r>
      <w:r>
        <w:rPr>
          <w:rFonts w:ascii="Calibri" w:eastAsia="Calibri"/>
        </w:rPr>
        <w:t>10 </w:t>
      </w:r>
      <w:r>
        <w:rPr>
          <w:spacing w:val="-17"/>
        </w:rPr>
        <w:t>万分之 </w:t>
      </w:r>
      <w:r>
        <w:rPr>
          <w:rFonts w:ascii="Calibri" w:eastAsia="Calibri"/>
          <w:spacing w:val="-4"/>
        </w:rPr>
        <w:t>9.3</w:t>
      </w:r>
      <w:r>
        <w:rPr>
          <w:spacing w:val="-4"/>
        </w:rPr>
        <w:t>），而头孢西丁、头孢美唑、头孢米诺以及头孢替安则无严重</w:t>
      </w:r>
      <w:r>
        <w:rPr>
          <w:spacing w:val="-12"/>
        </w:rPr>
        <w:t>过敏反应的发生。最终结论认为，每种头孢侧链结构不同，其诱发严重过敏反应的发生率是</w:t>
      </w:r>
      <w:r>
        <w:rPr/>
        <w:t>有差异的，但常规皮试对头孢所致的严重过敏反应以及过敏导致的死亡并无预测作用。</w:t>
      </w:r>
    </w:p>
    <w:p>
      <w:pPr>
        <w:pStyle w:val="BodyText"/>
        <w:spacing w:line="297" w:lineRule="auto"/>
        <w:ind w:right="1127" w:firstLine="468"/>
        <w:jc w:val="both"/>
      </w:pPr>
      <w:r>
        <w:rPr>
          <w:spacing w:val="-10"/>
        </w:rPr>
        <w:t>而且，更为重要的是，头孢的皮试并非绝对安全。目前从药品不良反应的类型来看，头</w:t>
      </w:r>
      <w:r>
        <w:rPr>
          <w:spacing w:val="-13"/>
        </w:rPr>
        <w:t>孢所致的严重过敏反应与药物类型和人体特殊体质有关，与剂量无关，发生率低，死亡率高。</w:t>
      </w:r>
      <w:r>
        <w:rPr>
          <w:spacing w:val="-10"/>
        </w:rPr>
        <w:t>通过文献检索，国内外也有不少关于头孢皮试所致的过敏性休克以及死亡事件，甚至在进行</w:t>
      </w:r>
      <w:r>
        <w:rPr>
          <w:spacing w:val="-4"/>
        </w:rPr>
        <w:t>头孢的皮肤点刺试验以及在配药时呼吸道吸入低剂量的头孢也会发生严重过敏反应。由此可</w:t>
      </w:r>
      <w:r>
        <w:rPr>
          <w:spacing w:val="-10"/>
        </w:rPr>
        <w:t>见，头孢所致的严重过敏反应与剂量无关，与浓度无关，与给药方式无关。既然头孢皮试同样如此危险，那么，在患者注射头孢前进行相对安全青霉素皮试是否可行呢？</w:t>
      </w:r>
    </w:p>
    <w:p>
      <w:pPr>
        <w:pStyle w:val="Heading3"/>
        <w:spacing w:line="300" w:lineRule="exact"/>
        <w:ind w:left="685"/>
        <w:rPr>
          <w:rFonts w:ascii="宋体" w:eastAsia="宋体" w:hint="eastAsia"/>
        </w:rPr>
      </w:pPr>
      <w:r>
        <w:rPr>
          <w:rFonts w:ascii="宋体" w:eastAsia="宋体" w:hint="eastAsia"/>
        </w:rPr>
        <w:t>注射头孢前进行青霉素皮试有用吗？</w:t>
      </w:r>
    </w:p>
    <w:p>
      <w:pPr>
        <w:pStyle w:val="BodyText"/>
        <w:spacing w:line="297" w:lineRule="auto" w:before="55"/>
        <w:ind w:right="1014" w:firstLine="468"/>
      </w:pPr>
      <w:r>
        <w:rPr>
          <w:spacing w:val="-6"/>
        </w:rPr>
        <w:t>在注射头孢前进行青霉素皮试，不少医院也这样操作过，原因主要考虑到头孢与青霉素同属于</w:t>
      </w:r>
      <w:r>
        <w:rPr>
          <w:rFonts w:ascii="Arial" w:hAnsi="Arial" w:eastAsia="Arial"/>
          <w:spacing w:val="-6"/>
        </w:rPr>
        <w:t>β </w:t>
      </w:r>
      <w:r>
        <w:rPr>
          <w:spacing w:val="-21"/>
        </w:rPr>
        <w:t>内酰胺类抗生素，有着相似的分子结构，理应有着交叉过敏抗原。从分子结构上看， </w:t>
      </w:r>
      <w:r>
        <w:rPr>
          <w:spacing w:val="-24"/>
        </w:rPr>
        <w:t>青霉素与头孢菌素有着相同的 </w:t>
      </w:r>
      <w:r>
        <w:rPr>
          <w:rFonts w:ascii="Calibri" w:hAnsi="Calibri" w:eastAsia="Calibri"/>
        </w:rPr>
        <w:t>R1 </w:t>
      </w:r>
      <w:r>
        <w:rPr/>
        <w:t>侧链，这也是两者的主要抗原决定簇，事实上，早期也有</w:t>
      </w:r>
      <w:r>
        <w:rPr>
          <w:spacing w:val="-3"/>
        </w:rPr>
        <w:t>青霉素过敏的病人在注射头孢菌素之后出现不良反应的报道，但都仅限于初代</w:t>
      </w:r>
      <w:r>
        <w:rPr/>
        <w:t>（第一代</w:t>
      </w:r>
      <w:r>
        <w:rPr>
          <w:spacing w:val="-34"/>
        </w:rPr>
        <w:t>）</w:t>
      </w:r>
      <w:r>
        <w:rPr/>
        <w:t>头</w:t>
      </w:r>
      <w:r>
        <w:rPr>
          <w:spacing w:val="-5"/>
        </w:rPr>
        <w:t>孢菌素。不仅是因为有相同的 </w:t>
      </w:r>
      <w:r>
        <w:rPr>
          <w:rFonts w:ascii="Calibri" w:hAnsi="Calibri" w:eastAsia="Calibri"/>
        </w:rPr>
        <w:t>R1 </w:t>
      </w:r>
      <w:r>
        <w:rPr/>
        <w:t>侧链结构，同时还由于第一代头孢菌素在制造过程中利用</w:t>
      </w:r>
      <w:r>
        <w:rPr>
          <w:spacing w:val="-5"/>
        </w:rPr>
        <w:t>青霉菌属产生母体化合物，随后通过化学改进形成头孢菌素环的分子结构，这个过程中，头</w:t>
      </w:r>
      <w:r>
        <w:rPr>
          <w:spacing w:val="-10"/>
        </w:rPr>
        <w:t>孢菌素可能受到青霉素“污染”。但实际的交叉反应发生率低于 </w:t>
      </w:r>
      <w:r>
        <w:rPr>
          <w:rFonts w:ascii="Calibri" w:hAnsi="Calibri" w:eastAsia="Calibri"/>
        </w:rPr>
        <w:t>1%</w:t>
      </w:r>
      <w:r>
        <w:rPr>
          <w:spacing w:val="-10"/>
        </w:rPr>
        <w:t>。</w:t>
      </w:r>
      <w:r>
        <w:rPr>
          <w:rFonts w:ascii="Calibri" w:hAnsi="Calibri" w:eastAsia="Calibri"/>
        </w:rPr>
        <w:t>2001 </w:t>
      </w:r>
      <w:r>
        <w:rPr>
          <w:spacing w:val="-3"/>
        </w:rPr>
        <w:t>年，西班牙马德</w:t>
      </w:r>
      <w:r>
        <w:rPr>
          <w:spacing w:val="-9"/>
        </w:rPr>
        <w:t>里自治大学医院过敏科 </w:t>
      </w:r>
      <w:r>
        <w:rPr>
          <w:rFonts w:ascii="Calibri" w:hAnsi="Calibri" w:eastAsia="Calibri"/>
        </w:rPr>
        <w:t>NOVALBOS </w:t>
      </w:r>
      <w:r>
        <w:rPr>
          <w:spacing w:val="-16"/>
        </w:rPr>
        <w:t>发表在 </w:t>
      </w:r>
      <w:r>
        <w:rPr>
          <w:rFonts w:ascii="Calibri" w:hAnsi="Calibri" w:eastAsia="Calibri"/>
        </w:rPr>
        <w:t>CEA </w:t>
      </w:r>
      <w:r>
        <w:rPr/>
        <w:t>杂志上的一项研究，评估对青霉素过敏的患</w:t>
      </w:r>
      <w:r>
        <w:rPr>
          <w:spacing w:val="-4"/>
        </w:rPr>
        <w:t>者使用头孢菌素的安全性，研究从 </w:t>
      </w:r>
      <w:r>
        <w:rPr>
          <w:rFonts w:ascii="Calibri" w:hAnsi="Calibri" w:eastAsia="Calibri"/>
        </w:rPr>
        <w:t>958 </w:t>
      </w:r>
      <w:r>
        <w:rPr>
          <w:spacing w:val="-5"/>
        </w:rPr>
        <w:t>例疑似青霉素过敏的患者中最终确诊了 </w:t>
      </w:r>
      <w:r>
        <w:rPr>
          <w:rFonts w:ascii="Calibri" w:hAnsi="Calibri" w:eastAsia="Calibri"/>
        </w:rPr>
        <w:t>41 </w:t>
      </w:r>
      <w:r>
        <w:rPr/>
        <w:t>例患者， 给予他们与青霉素无相同侧链的治疗剂量的头孢菌素（头孢唑林、头孢呋辛、头孢曲松</w:t>
      </w:r>
      <w:r>
        <w:rPr>
          <w:spacing w:val="-11"/>
        </w:rPr>
        <w:t>）， </w:t>
      </w:r>
      <w:r>
        <w:rPr>
          <w:spacing w:val="-7"/>
        </w:rPr>
        <w:t>最终所有患者均可耐受头孢菌素，无任何不良反应。说明青霉素过敏的患者注射头孢菌素是</w:t>
      </w:r>
    </w:p>
    <w:p>
      <w:pPr>
        <w:spacing w:after="0" w:line="297" w:lineRule="auto"/>
        <w:sectPr>
          <w:pgSz w:w="11910" w:h="16850"/>
          <w:pgMar w:header="906" w:footer="531" w:top="1100" w:bottom="800" w:left="1060" w:right="0"/>
        </w:sectPr>
      </w:pPr>
    </w:p>
    <w:p>
      <w:pPr>
        <w:pStyle w:val="BodyText"/>
        <w:spacing w:line="295" w:lineRule="auto" w:before="65"/>
        <w:ind w:right="1133"/>
        <w:jc w:val="both"/>
      </w:pPr>
      <w:r>
        <w:rPr/>
        <w:t>安全的。</w:t>
      </w:r>
      <w:r>
        <w:rPr>
          <w:rFonts w:ascii="Calibri" w:hAnsi="Calibri" w:eastAsia="Calibri"/>
        </w:rPr>
        <w:t>2017 </w:t>
      </w:r>
      <w:r>
        <w:rPr>
          <w:spacing w:val="-32"/>
        </w:rPr>
        <w:t>年 </w:t>
      </w:r>
      <w:r>
        <w:rPr>
          <w:rFonts w:ascii="Calibri" w:hAnsi="Calibri" w:eastAsia="Calibri"/>
        </w:rPr>
        <w:t>10 </w:t>
      </w:r>
      <w:r>
        <w:rPr>
          <w:spacing w:val="57"/>
        </w:rPr>
        <w:t>月</w:t>
      </w:r>
      <w:r>
        <w:rPr>
          <w:rFonts w:ascii="Calibri" w:hAnsi="Calibri" w:eastAsia="Calibri"/>
        </w:rPr>
        <w:t>JACI Pract </w:t>
      </w:r>
      <w:r>
        <w:rPr>
          <w:spacing w:val="-15"/>
        </w:rPr>
        <w:t>发表的 </w:t>
      </w:r>
      <w:r>
        <w:rPr>
          <w:rFonts w:ascii="Calibri" w:hAnsi="Calibri" w:eastAsia="Calibri"/>
        </w:rPr>
        <w:t>Zagursky </w:t>
      </w:r>
      <w:r>
        <w:rPr/>
        <w:t>的关于</w:t>
      </w:r>
      <w:r>
        <w:rPr>
          <w:rFonts w:ascii="Arial" w:hAnsi="Arial" w:eastAsia="Arial"/>
        </w:rPr>
        <w:t>β </w:t>
      </w:r>
      <w:r>
        <w:rPr/>
        <w:t>内酰胺类抗生素过敏之间的交叉</w:t>
      </w:r>
      <w:r>
        <w:rPr>
          <w:spacing w:val="-2"/>
        </w:rPr>
        <w:t>反应的综述也指出，青霉素与头孢过敏之间的交叉反应主要是由于两者有相似的 </w:t>
      </w:r>
      <w:r>
        <w:rPr>
          <w:rFonts w:ascii="Calibri" w:hAnsi="Calibri" w:eastAsia="Calibri"/>
        </w:rPr>
        <w:t>R1 </w:t>
      </w:r>
      <w:r>
        <w:rPr>
          <w:spacing w:val="-6"/>
        </w:rPr>
        <w:t>侧链， </w:t>
      </w:r>
      <w:r>
        <w:rPr>
          <w:spacing w:val="-31"/>
        </w:rPr>
        <w:t>而 </w:t>
      </w:r>
      <w:r>
        <w:rPr>
          <w:rFonts w:ascii="Calibri" w:hAnsi="Calibri" w:eastAsia="Calibri"/>
        </w:rPr>
        <w:t>R1 </w:t>
      </w:r>
      <w:r>
        <w:rPr>
          <w:spacing w:val="-1"/>
        </w:rPr>
        <w:t>侧链与速发型过敏反应无关，因而，青霉素过敏患者完全可以安全的使用头孢菌素。</w:t>
      </w:r>
    </w:p>
    <w:p>
      <w:pPr>
        <w:pStyle w:val="Heading3"/>
        <w:spacing w:before="5"/>
        <w:ind w:left="685"/>
        <w:rPr>
          <w:rFonts w:ascii="宋体" w:eastAsia="宋体" w:hint="eastAsia"/>
        </w:rPr>
      </w:pPr>
      <w:r>
        <w:rPr>
          <w:rFonts w:ascii="宋体" w:eastAsia="宋体" w:hint="eastAsia"/>
        </w:rPr>
        <w:t>总结</w:t>
      </w:r>
    </w:p>
    <w:p>
      <w:pPr>
        <w:pStyle w:val="BodyText"/>
        <w:spacing w:line="297" w:lineRule="auto" w:before="72"/>
        <w:ind w:right="1007" w:firstLine="468"/>
      </w:pPr>
      <w:r>
        <w:rPr>
          <w:spacing w:val="-9"/>
        </w:rPr>
        <w:t>综上所述，头孢所致严重过敏反应的发生率极低，死亡率高。在注射头孢菌素前行头孢</w:t>
      </w:r>
      <w:r>
        <w:rPr>
          <w:spacing w:val="-14"/>
        </w:rPr>
        <w:t>皮试并不能预测头孢所致的速发型过敏反应，包括严重过敏反应或死亡事件，头孢所致严重</w:t>
      </w:r>
      <w:r>
        <w:rPr>
          <w:spacing w:val="-21"/>
        </w:rPr>
        <w:t>过敏反应与剂量无关，头孢皮试同样有致死性风险；在注射头孢前使用青霉素皮试毫无依据， </w:t>
      </w:r>
      <w:r>
        <w:rPr>
          <w:spacing w:val="-8"/>
        </w:rPr>
        <w:t>而一种头孢菌素过敏，停用其他类型头孢菌素同样有矫枉过正之嫌。头孢皮试不仅仅增加了</w:t>
      </w:r>
      <w:r>
        <w:rPr>
          <w:spacing w:val="-11"/>
        </w:rPr>
        <w:t>医疗成本，皮试假阳性的结果直接限制了头孢这一广谱抗生素在临床的合理应用。况且，其</w:t>
      </w:r>
      <w:r>
        <w:rPr>
          <w:spacing w:val="-15"/>
        </w:rPr>
        <w:t>他类型的抗生素过敏的报道也并不鲜见。因而，医生在接诊时详细询问过敏史，医疗机构备好抢救设施，培养具有抢救过敏性休克的专业素养的医务人员才是至关重要的。</w:t>
      </w:r>
    </w:p>
    <w:p>
      <w:pPr>
        <w:pStyle w:val="BodyText"/>
        <w:spacing w:line="297" w:lineRule="auto"/>
        <w:ind w:right="1130" w:firstLine="468"/>
        <w:jc w:val="both"/>
      </w:pPr>
      <w:r>
        <w:rPr>
          <w:rFonts w:ascii="Calibri" w:hAnsi="Calibri" w:eastAsia="Calibri"/>
        </w:rPr>
        <w:t>3 </w:t>
      </w:r>
      <w:r>
        <w:rPr>
          <w:spacing w:val="-6"/>
        </w:rPr>
        <w:t>年前，罗氏芬说明书中删除了使用前需要皮试的要求，据悉，国家卫生行政部门正组</w:t>
      </w:r>
      <w:r>
        <w:rPr/>
        <w:t>织专家规范</w:t>
      </w:r>
      <w:r>
        <w:rPr>
          <w:rFonts w:ascii="Arial" w:hAnsi="Arial" w:eastAsia="Arial"/>
        </w:rPr>
        <w:t>β </w:t>
      </w:r>
      <w:r>
        <w:rPr>
          <w:spacing w:val="-7"/>
        </w:rPr>
        <w:t>内酰胺类抗生素的皮试指导原则，希望不久的将来，国家在取消头孢皮试，消</w:t>
      </w:r>
      <w:r>
        <w:rPr/>
        <w:t>除大众疑虑的同时，类似张某死亡事件的悲剧也可以避免。</w:t>
      </w:r>
    </w:p>
    <w:p>
      <w:pPr>
        <w:pStyle w:val="BodyText"/>
        <w:spacing w:before="1"/>
        <w:ind w:left="0"/>
        <w:rPr>
          <w:sz w:val="17"/>
        </w:rPr>
      </w:pPr>
    </w:p>
    <w:p>
      <w:pPr>
        <w:pStyle w:val="Heading2"/>
        <w:ind w:left="1110"/>
      </w:pPr>
      <w:bookmarkStart w:name="_TOC_250023" w:id="22"/>
      <w:bookmarkEnd w:id="22"/>
      <w:r>
        <w:rPr/>
        <w:t>非小细胞肺癌患者预后影响因素分析及预测列线图构建</w:t>
      </w:r>
    </w:p>
    <w:p>
      <w:pPr>
        <w:spacing w:line="304" w:lineRule="auto" w:before="148"/>
        <w:ind w:left="217" w:right="1128" w:firstLine="4253"/>
        <w:jc w:val="both"/>
        <w:rPr>
          <w:sz w:val="24"/>
        </w:rPr>
      </w:pPr>
      <w:r>
        <w:rPr>
          <w:rFonts w:ascii="楷体" w:eastAsia="楷体" w:hint="eastAsia"/>
          <w:b/>
          <w:color w:val="FF0000"/>
          <w:sz w:val="24"/>
        </w:rPr>
        <w:t>（来源：《中国医院药学杂志》2018</w:t>
      </w:r>
      <w:r>
        <w:rPr>
          <w:rFonts w:ascii="楷体" w:eastAsia="楷体" w:hint="eastAsia"/>
          <w:b/>
          <w:color w:val="FF0000"/>
          <w:spacing w:val="-31"/>
          <w:sz w:val="24"/>
        </w:rPr>
        <w:t> 年第 </w:t>
      </w:r>
      <w:r>
        <w:rPr>
          <w:rFonts w:ascii="楷体" w:eastAsia="楷体" w:hint="eastAsia"/>
          <w:b/>
          <w:color w:val="FF0000"/>
          <w:sz w:val="24"/>
        </w:rPr>
        <w:t>20</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pacing w:val="-10"/>
          <w:sz w:val="24"/>
        </w:rPr>
        <w:t>石亚飞，陈伟，曹宇，张磊，杨谨成，王会凌，蔡宇，李春雨，费小非，李国辉</w:t>
      </w:r>
      <w:r>
        <w:rPr>
          <w:sz w:val="24"/>
        </w:rPr>
        <w:t>（</w:t>
      </w:r>
      <w:r>
        <w:rPr>
          <w:spacing w:val="-3"/>
          <w:sz w:val="24"/>
        </w:rPr>
        <w:t>国家癌症</w:t>
      </w:r>
      <w:r>
        <w:rPr>
          <w:sz w:val="24"/>
        </w:rPr>
        <w:t>中心</w:t>
      </w:r>
      <w:r>
        <w:rPr>
          <w:rFonts w:ascii="Times New Roman" w:eastAsia="Times New Roman"/>
          <w:sz w:val="24"/>
        </w:rPr>
        <w:t>/</w:t>
      </w:r>
      <w:r>
        <w:rPr>
          <w:sz w:val="24"/>
        </w:rPr>
        <w:t>中国医学科学院北京协和医学院肿瘤医院药剂科，北京 </w:t>
      </w:r>
      <w:r>
        <w:rPr>
          <w:rFonts w:ascii="Times New Roman" w:eastAsia="Times New Roman"/>
          <w:sz w:val="24"/>
        </w:rPr>
        <w:t>100021</w:t>
      </w:r>
      <w:r>
        <w:rPr>
          <w:sz w:val="24"/>
        </w:rPr>
        <w:t>）</w:t>
      </w:r>
    </w:p>
    <w:p>
      <w:pPr>
        <w:spacing w:line="236" w:lineRule="exact" w:before="0"/>
        <w:ind w:left="306" w:right="0" w:firstLine="0"/>
        <w:jc w:val="left"/>
        <w:rPr>
          <w:rFonts w:ascii="楷体" w:eastAsia="楷体" w:hint="eastAsia"/>
          <w:sz w:val="18"/>
        </w:rPr>
      </w:pPr>
      <w:r>
        <w:rPr>
          <w:rFonts w:ascii="Times New Roman" w:eastAsia="Times New Roman"/>
          <w:sz w:val="18"/>
        </w:rPr>
        <w:t>[</w:t>
      </w:r>
      <w:r>
        <w:rPr>
          <w:rFonts w:ascii="黑体" w:eastAsia="黑体" w:hint="eastAsia"/>
          <w:sz w:val="18"/>
        </w:rPr>
        <w:t>摘要</w:t>
      </w:r>
      <w:r>
        <w:rPr>
          <w:rFonts w:ascii="Times New Roman" w:eastAsia="Times New Roman"/>
          <w:sz w:val="18"/>
        </w:rPr>
        <w:t>]</w:t>
      </w:r>
      <w:r>
        <w:rPr>
          <w:sz w:val="24"/>
        </w:rPr>
        <w:t>：</w:t>
      </w:r>
      <w:r>
        <w:rPr>
          <w:rFonts w:ascii="黑体" w:eastAsia="黑体" w:hint="eastAsia"/>
          <w:sz w:val="18"/>
        </w:rPr>
        <w:t>目的：</w:t>
      </w:r>
      <w:r>
        <w:rPr>
          <w:rFonts w:ascii="楷体" w:eastAsia="楷体" w:hint="eastAsia"/>
          <w:sz w:val="18"/>
        </w:rPr>
        <w:t>探讨影响非小细胞肺癌患者化疗后生存时间的相关因素，构建非小细胞肺癌患者化疗后生存时间的预测</w:t>
      </w:r>
    </w:p>
    <w:p>
      <w:pPr>
        <w:spacing w:line="312" w:lineRule="auto" w:before="52"/>
        <w:ind w:left="217" w:right="1040" w:firstLine="0"/>
        <w:jc w:val="left"/>
        <w:rPr>
          <w:rFonts w:ascii="楷体" w:eastAsia="楷体" w:hint="eastAsia"/>
          <w:sz w:val="18"/>
        </w:rPr>
      </w:pPr>
      <w:r>
        <w:rPr>
          <w:rFonts w:ascii="楷体" w:eastAsia="楷体" w:hint="eastAsia"/>
          <w:spacing w:val="-6"/>
          <w:sz w:val="18"/>
        </w:rPr>
        <w:t>列线图。</w:t>
      </w:r>
      <w:r>
        <w:rPr>
          <w:rFonts w:ascii="黑体" w:eastAsia="黑体" w:hint="eastAsia"/>
          <w:spacing w:val="-8"/>
          <w:sz w:val="18"/>
        </w:rPr>
        <w:t>方法：</w:t>
      </w:r>
      <w:r>
        <w:rPr>
          <w:rFonts w:ascii="楷体" w:eastAsia="楷体" w:hint="eastAsia"/>
          <w:sz w:val="18"/>
        </w:rPr>
        <w:t>回顾性分析</w:t>
      </w:r>
      <w:r>
        <w:rPr>
          <w:rFonts w:ascii="Times New Roman" w:eastAsia="Times New Roman"/>
          <w:sz w:val="18"/>
        </w:rPr>
        <w:t>1465</w:t>
      </w:r>
      <w:r>
        <w:rPr>
          <w:rFonts w:ascii="楷体" w:eastAsia="楷体" w:hint="eastAsia"/>
          <w:spacing w:val="-1"/>
          <w:sz w:val="18"/>
        </w:rPr>
        <w:t>例化疗后非小细胞肺癌细胞肺癌患者的相关信息，</w:t>
      </w:r>
      <w:r>
        <w:rPr>
          <w:rFonts w:ascii="Times New Roman" w:eastAsia="Times New Roman"/>
          <w:spacing w:val="-5"/>
          <w:sz w:val="18"/>
        </w:rPr>
        <w:t>COX</w:t>
      </w:r>
      <w:r>
        <w:rPr>
          <w:rFonts w:ascii="楷体" w:eastAsia="楷体" w:hint="eastAsia"/>
          <w:sz w:val="18"/>
        </w:rPr>
        <w:t>比例风险模型筛选影响预后的危险</w:t>
      </w:r>
      <w:r>
        <w:rPr>
          <w:rFonts w:ascii="楷体" w:eastAsia="楷体" w:hint="eastAsia"/>
          <w:spacing w:val="-2"/>
          <w:sz w:val="18"/>
        </w:rPr>
        <w:t>因素，并根据</w:t>
      </w:r>
      <w:r>
        <w:rPr>
          <w:rFonts w:ascii="Times New Roman" w:eastAsia="Times New Roman"/>
          <w:sz w:val="18"/>
        </w:rPr>
        <w:t>COX</w:t>
      </w:r>
      <w:r>
        <w:rPr>
          <w:rFonts w:ascii="楷体" w:eastAsia="楷体" w:hint="eastAsia"/>
          <w:spacing w:val="-1"/>
          <w:sz w:val="18"/>
        </w:rPr>
        <w:t>回归结果构建非小细胞肺癌患者预后生存风险列线图。</w:t>
      </w:r>
      <w:r>
        <w:rPr>
          <w:rFonts w:ascii="黑体" w:eastAsia="黑体" w:hint="eastAsia"/>
          <w:sz w:val="18"/>
        </w:rPr>
        <w:t>结果：</w:t>
      </w:r>
      <w:r>
        <w:rPr>
          <w:rFonts w:ascii="Times New Roman" w:eastAsia="Times New Roman"/>
          <w:sz w:val="18"/>
        </w:rPr>
        <w:t>1 465</w:t>
      </w:r>
      <w:r>
        <w:rPr>
          <w:rFonts w:ascii="楷体" w:eastAsia="楷体" w:hint="eastAsia"/>
          <w:sz w:val="18"/>
        </w:rPr>
        <w:t>例患者中有</w:t>
      </w:r>
      <w:r>
        <w:rPr>
          <w:rFonts w:ascii="Times New Roman" w:eastAsia="Times New Roman"/>
          <w:sz w:val="18"/>
        </w:rPr>
        <w:t>659</w:t>
      </w:r>
      <w:r>
        <w:rPr>
          <w:rFonts w:ascii="楷体" w:eastAsia="楷体" w:hint="eastAsia"/>
          <w:spacing w:val="-1"/>
          <w:sz w:val="18"/>
        </w:rPr>
        <w:t>例患者死亡，患者中位生存期为</w:t>
      </w:r>
      <w:r>
        <w:rPr>
          <w:rFonts w:ascii="Times New Roman" w:eastAsia="Times New Roman"/>
          <w:spacing w:val="-1"/>
          <w:sz w:val="18"/>
        </w:rPr>
        <w:t>913 </w:t>
      </w:r>
      <w:r>
        <w:rPr>
          <w:rFonts w:ascii="Times New Roman" w:eastAsia="Times New Roman"/>
          <w:sz w:val="18"/>
        </w:rPr>
        <w:t>d</w:t>
      </w:r>
      <w:r>
        <w:rPr>
          <w:rFonts w:ascii="楷体" w:eastAsia="楷体" w:hint="eastAsia"/>
          <w:sz w:val="18"/>
        </w:rPr>
        <w:t>，</w:t>
      </w:r>
      <w:r>
        <w:rPr>
          <w:rFonts w:ascii="Times New Roman" w:eastAsia="Times New Roman"/>
          <w:sz w:val="18"/>
        </w:rPr>
        <w:t>COX</w:t>
      </w:r>
      <w:r>
        <w:rPr>
          <w:rFonts w:ascii="楷体" w:eastAsia="楷体" w:hint="eastAsia"/>
          <w:sz w:val="18"/>
        </w:rPr>
        <w:t>回归分析结果显示患者性别，年龄，</w:t>
      </w:r>
      <w:r>
        <w:rPr>
          <w:rFonts w:ascii="Times New Roman" w:eastAsia="Times New Roman"/>
          <w:sz w:val="18"/>
        </w:rPr>
        <w:t>TNM</w:t>
      </w:r>
      <w:r>
        <w:rPr>
          <w:rFonts w:ascii="楷体" w:eastAsia="楷体" w:hint="eastAsia"/>
          <w:sz w:val="18"/>
        </w:rPr>
        <w:t>分期，</w:t>
      </w:r>
      <w:r>
        <w:rPr>
          <w:rFonts w:ascii="Times New Roman" w:eastAsia="Times New Roman"/>
          <w:sz w:val="18"/>
        </w:rPr>
        <w:t>KPS</w:t>
      </w:r>
      <w:r>
        <w:rPr>
          <w:rFonts w:ascii="楷体" w:eastAsia="楷体" w:hint="eastAsia"/>
          <w:sz w:val="18"/>
        </w:rPr>
        <w:t>评分，肺切除手术及饮酒史为影响非小细胞肺癌化疗后生存时间的独立预测因子。依此建立预测非小细胞肺癌患者化疗后生存时间预测列线图的一致性系数为</w:t>
      </w:r>
      <w:r>
        <w:rPr>
          <w:rFonts w:ascii="Times New Roman" w:eastAsia="Times New Roman"/>
          <w:sz w:val="18"/>
        </w:rPr>
        <w:t>0.701</w:t>
      </w:r>
      <w:r>
        <w:rPr>
          <w:rFonts w:ascii="楷体" w:eastAsia="楷体" w:hint="eastAsia"/>
          <w:spacing w:val="-15"/>
          <w:sz w:val="18"/>
        </w:rPr>
        <w:t>。</w:t>
      </w:r>
      <w:r>
        <w:rPr>
          <w:rFonts w:ascii="黑体" w:eastAsia="黑体" w:hint="eastAsia"/>
          <w:spacing w:val="-4"/>
          <w:sz w:val="18"/>
        </w:rPr>
        <w:t>结论：</w:t>
      </w:r>
      <w:r>
        <w:rPr>
          <w:rFonts w:ascii="楷体" w:eastAsia="楷体" w:hint="eastAsia"/>
          <w:spacing w:val="-3"/>
          <w:sz w:val="18"/>
        </w:rPr>
        <w:t>基于患者性别，年龄，</w:t>
      </w:r>
      <w:r>
        <w:rPr>
          <w:rFonts w:ascii="Times New Roman" w:eastAsia="Times New Roman"/>
          <w:spacing w:val="-4"/>
          <w:sz w:val="18"/>
        </w:rPr>
        <w:t>TNM</w:t>
      </w:r>
      <w:r>
        <w:rPr>
          <w:rFonts w:ascii="楷体" w:eastAsia="楷体" w:hint="eastAsia"/>
          <w:spacing w:val="-2"/>
          <w:sz w:val="18"/>
        </w:rPr>
        <w:t>分期，</w:t>
      </w:r>
      <w:r>
        <w:rPr>
          <w:rFonts w:ascii="Times New Roman" w:eastAsia="Times New Roman"/>
          <w:spacing w:val="-4"/>
          <w:sz w:val="18"/>
        </w:rPr>
        <w:t>KPS</w:t>
      </w:r>
      <w:r>
        <w:rPr>
          <w:rFonts w:ascii="楷体" w:eastAsia="楷体" w:hint="eastAsia"/>
          <w:spacing w:val="-3"/>
          <w:sz w:val="18"/>
        </w:rPr>
        <w:t>评分，肺切除手术及饮酒史等临床资料建立的非小细胞肺癌化疗后患者总生存时间预测的列线图有助于个体化预测患者预后，有利于针对性地治疗预后较差的非小细胞肺癌患者。</w:t>
      </w:r>
    </w:p>
    <w:p>
      <w:pPr>
        <w:spacing w:before="1"/>
        <w:ind w:left="217" w:right="0" w:firstLine="0"/>
        <w:jc w:val="left"/>
        <w:rPr>
          <w:rFonts w:ascii="楷体" w:eastAsia="楷体" w:hint="eastAsia"/>
          <w:sz w:val="18"/>
        </w:rPr>
      </w:pPr>
      <w:r>
        <w:rPr>
          <w:rFonts w:ascii="Times New Roman" w:eastAsia="Times New Roman"/>
          <w:sz w:val="18"/>
        </w:rPr>
        <w:t>[</w:t>
      </w:r>
      <w:r>
        <w:rPr>
          <w:rFonts w:ascii="黑体" w:eastAsia="黑体" w:hint="eastAsia"/>
          <w:sz w:val="18"/>
        </w:rPr>
        <w:t>关键词</w:t>
      </w:r>
      <w:r>
        <w:rPr>
          <w:rFonts w:ascii="Times New Roman" w:eastAsia="Times New Roman"/>
          <w:sz w:val="18"/>
        </w:rPr>
        <w:t>] </w:t>
      </w:r>
      <w:r>
        <w:rPr>
          <w:rFonts w:ascii="楷体" w:eastAsia="楷体" w:hint="eastAsia"/>
          <w:sz w:val="18"/>
        </w:rPr>
        <w:t>非小细胞肺癌；预后影响因素；</w:t>
      </w:r>
      <w:r>
        <w:rPr>
          <w:rFonts w:ascii="Times New Roman" w:eastAsia="Times New Roman"/>
          <w:sz w:val="18"/>
        </w:rPr>
        <w:t>COX</w:t>
      </w:r>
      <w:r>
        <w:rPr>
          <w:rFonts w:ascii="楷体" w:eastAsia="楷体" w:hint="eastAsia"/>
          <w:sz w:val="18"/>
        </w:rPr>
        <w:t>回归；列线图</w:t>
      </w:r>
    </w:p>
    <w:p>
      <w:pPr>
        <w:pStyle w:val="BodyText"/>
        <w:spacing w:line="295" w:lineRule="auto" w:before="75"/>
        <w:ind w:right="1145" w:firstLine="480"/>
      </w:pPr>
      <w:r>
        <w:rPr/>
        <w:t>肺癌是常见的恶性肿瘤之一，在我国其死亡率居恶性肿瘤的首位，其中非小细胞肺癌 ( non-small cell lung cancer，NSCLC) 占肺癌总数的85%，5年生存率仅10%～12%</w:t>
      </w:r>
      <w:r>
        <w:rPr>
          <w:spacing w:val="-6"/>
        </w:rPr>
        <w:t>。非小</w:t>
      </w:r>
    </w:p>
    <w:p>
      <w:pPr>
        <w:pStyle w:val="BodyText"/>
        <w:spacing w:line="297" w:lineRule="auto" w:before="2"/>
        <w:ind w:right="890"/>
      </w:pPr>
      <w:r>
        <w:rPr>
          <w:spacing w:val="-6"/>
        </w:rPr>
        <w:t>细胞肺癌患者化疗后生存时间受多种因素影响，综合分析影响非小细胞肺癌预后的相关因素， </w:t>
      </w:r>
      <w:r>
        <w:rPr>
          <w:spacing w:val="-7"/>
        </w:rPr>
        <w:t>对于非小细胞肺癌患者治疗意义重大。本研究回顾性分析</w:t>
      </w:r>
      <w:r>
        <w:rPr/>
        <w:t>1465例化疗后非小细胞肺癌细胞肺 癌患者的相关信息，探索建立非小细胞肺癌患者个体化预后预测列线图，以期为优化NSCLC 治疗方案提供依据。</w:t>
      </w:r>
    </w:p>
    <w:p>
      <w:pPr>
        <w:pStyle w:val="Heading3"/>
        <w:spacing w:line="304" w:lineRule="exact"/>
        <w:rPr>
          <w:rFonts w:ascii="宋体" w:eastAsia="宋体" w:hint="eastAsia"/>
        </w:rPr>
      </w:pPr>
      <w:r>
        <w:rPr>
          <w:rFonts w:ascii="宋体" w:eastAsia="宋体" w:hint="eastAsia"/>
        </w:rPr>
        <w:t>1 资料与方法</w:t>
      </w:r>
    </w:p>
    <w:p>
      <w:pPr>
        <w:pStyle w:val="BodyText"/>
        <w:spacing w:line="297" w:lineRule="auto" w:before="72"/>
        <w:ind w:right="1147" w:firstLine="480"/>
        <w:jc w:val="both"/>
      </w:pPr>
      <w:r>
        <w:rPr/>
        <w:t>1.1</w:t>
      </w:r>
      <w:r>
        <w:rPr>
          <w:spacing w:val="-5"/>
        </w:rPr>
        <w:t> 研究对象 以中国医学科学院肿瘤医院 </w:t>
      </w:r>
      <w:r>
        <w:rPr/>
        <w:t>2006</w:t>
      </w:r>
      <w:r>
        <w:rPr>
          <w:spacing w:val="-40"/>
        </w:rPr>
        <w:t> 年 </w:t>
      </w:r>
      <w:r>
        <w:rPr/>
        <w:t>1</w:t>
      </w:r>
      <w:r>
        <w:rPr>
          <w:spacing w:val="-40"/>
        </w:rPr>
        <w:t> 月 </w:t>
      </w:r>
      <w:r>
        <w:rPr/>
        <w:t>1</w:t>
      </w:r>
      <w:r>
        <w:rPr>
          <w:spacing w:val="-30"/>
        </w:rPr>
        <w:t> 日</w:t>
      </w:r>
      <w:r>
        <w:rPr/>
        <w:t>-2016</w:t>
      </w:r>
      <w:r>
        <w:rPr>
          <w:spacing w:val="-40"/>
        </w:rPr>
        <w:t> 年 </w:t>
      </w:r>
      <w:r>
        <w:rPr/>
        <w:t>12</w:t>
      </w:r>
      <w:r>
        <w:rPr>
          <w:spacing w:val="-40"/>
        </w:rPr>
        <w:t> 月 </w:t>
      </w:r>
      <w:r>
        <w:rPr/>
        <w:t>31</w:t>
      </w:r>
      <w:r>
        <w:rPr>
          <w:spacing w:val="-15"/>
        </w:rPr>
        <w:t> 日病例</w:t>
      </w:r>
      <w:r>
        <w:rPr>
          <w:spacing w:val="-21"/>
        </w:rPr>
        <w:t>及随访资料完整的 </w:t>
      </w:r>
      <w:r>
        <w:rPr/>
        <w:t>1465</w:t>
      </w:r>
      <w:r>
        <w:rPr>
          <w:spacing w:val="-9"/>
        </w:rPr>
        <w:t> 例非小细胞肺癌住院患者为研究对象，所有患者均经病理学检查确</w:t>
      </w:r>
      <w:r>
        <w:rPr>
          <w:spacing w:val="-21"/>
        </w:rPr>
        <w:t>诊为 </w:t>
      </w:r>
      <w:r>
        <w:rPr/>
        <w:t>NSCLC</w:t>
      </w:r>
      <w:r>
        <w:rPr>
          <w:spacing w:val="-8"/>
        </w:rPr>
        <w:t>，其中男性患者 </w:t>
      </w:r>
      <w:r>
        <w:rPr/>
        <w:t>969</w:t>
      </w:r>
      <w:r>
        <w:rPr>
          <w:spacing w:val="-16"/>
        </w:rPr>
        <w:t> 例，女性患者 </w:t>
      </w:r>
      <w:r>
        <w:rPr/>
        <w:t>496</w:t>
      </w:r>
      <w:r>
        <w:rPr>
          <w:spacing w:val="-16"/>
        </w:rPr>
        <w:t> 例，患者年龄 </w:t>
      </w:r>
      <w:r>
        <w:rPr/>
        <w:t>28</w:t>
      </w:r>
      <w:r>
        <w:rPr>
          <w:spacing w:val="-30"/>
        </w:rPr>
        <w:t> 岁</w:t>
      </w:r>
      <w:r>
        <w:rPr/>
        <w:t>～89</w:t>
      </w:r>
      <w:r>
        <w:rPr>
          <w:spacing w:val="-9"/>
        </w:rPr>
        <w:t> 岁，平均年龄</w:t>
      </w:r>
    </w:p>
    <w:p>
      <w:pPr>
        <w:pStyle w:val="BodyText"/>
        <w:spacing w:line="295" w:lineRule="auto"/>
        <w:ind w:right="1129"/>
      </w:pPr>
      <w:r>
        <w:rPr/>
        <w:t>62.79±10.15</w:t>
      </w:r>
      <w:r>
        <w:rPr>
          <w:spacing w:val="-18"/>
        </w:rPr>
        <w:t> 岁，中位年龄 </w:t>
      </w:r>
      <w:r>
        <w:rPr/>
        <w:t>63</w:t>
      </w:r>
      <w:r>
        <w:rPr>
          <w:spacing w:val="-11"/>
        </w:rPr>
        <w:t> 岁。利用病案数据库查找与研究有关的患者资料，建立患者</w:t>
      </w:r>
      <w:r>
        <w:rPr/>
        <w:t>信息数据库。</w:t>
      </w:r>
    </w:p>
    <w:p>
      <w:pPr>
        <w:spacing w:after="0" w:line="295" w:lineRule="auto"/>
        <w:sectPr>
          <w:pgSz w:w="11910" w:h="16850"/>
          <w:pgMar w:header="906" w:footer="531" w:top="1100" w:bottom="800" w:left="1060" w:right="0"/>
        </w:sectPr>
      </w:pPr>
    </w:p>
    <w:p>
      <w:pPr>
        <w:pStyle w:val="ListParagraph"/>
        <w:numPr>
          <w:ilvl w:val="1"/>
          <w:numId w:val="4"/>
        </w:numPr>
        <w:tabs>
          <w:tab w:pos="1178" w:val="left" w:leader="none"/>
        </w:tabs>
        <w:spacing w:line="297" w:lineRule="auto" w:before="65" w:after="0"/>
        <w:ind w:left="217" w:right="1128" w:firstLine="480"/>
        <w:jc w:val="both"/>
        <w:rPr>
          <w:sz w:val="24"/>
        </w:rPr>
      </w:pPr>
      <w:r>
        <w:rPr>
          <w:spacing w:val="-4"/>
          <w:sz w:val="24"/>
        </w:rPr>
        <w:t>研究因素 采用回顾性方法分析 </w:t>
      </w:r>
      <w:r>
        <w:rPr>
          <w:sz w:val="24"/>
        </w:rPr>
        <w:t>1465</w:t>
      </w:r>
      <w:r>
        <w:rPr>
          <w:spacing w:val="-40"/>
          <w:sz w:val="24"/>
        </w:rPr>
        <w:t> 例 </w:t>
      </w:r>
      <w:r>
        <w:rPr>
          <w:sz w:val="24"/>
        </w:rPr>
        <w:t>NSCLC</w:t>
      </w:r>
      <w:r>
        <w:rPr>
          <w:spacing w:val="-8"/>
          <w:sz w:val="24"/>
        </w:rPr>
        <w:t> 患者的临床及随访资料记录患者性</w:t>
      </w:r>
      <w:r>
        <w:rPr>
          <w:spacing w:val="-12"/>
          <w:sz w:val="24"/>
        </w:rPr>
        <w:t>别，年龄，肿瘤分期，家族史，个人史，首次住院 </w:t>
      </w:r>
      <w:r>
        <w:rPr>
          <w:sz w:val="24"/>
        </w:rPr>
        <w:t>KPS</w:t>
      </w:r>
      <w:r>
        <w:rPr>
          <w:spacing w:val="-11"/>
          <w:sz w:val="24"/>
        </w:rPr>
        <w:t> 评分，首次住院化疗方案，骨髓抑制发生情况，手术情况，放疗情况，癌症类型、肿瘤标志物等。比较不同因素对患者生存时间</w:t>
      </w:r>
      <w:r>
        <w:rPr>
          <w:sz w:val="24"/>
        </w:rPr>
        <w:t>的影响。</w:t>
      </w:r>
    </w:p>
    <w:p>
      <w:pPr>
        <w:pStyle w:val="ListParagraph"/>
        <w:numPr>
          <w:ilvl w:val="1"/>
          <w:numId w:val="4"/>
        </w:numPr>
        <w:tabs>
          <w:tab w:pos="1178" w:val="left" w:leader="none"/>
          <w:tab w:pos="2377" w:val="left" w:leader="none"/>
        </w:tabs>
        <w:spacing w:line="295" w:lineRule="auto" w:before="0" w:after="0"/>
        <w:ind w:left="217" w:right="1013" w:firstLine="480"/>
        <w:jc w:val="left"/>
        <w:rPr>
          <w:sz w:val="24"/>
        </w:rPr>
      </w:pPr>
      <w:r>
        <w:rPr>
          <w:sz w:val="24"/>
        </w:rPr>
        <w:t>患者随访</w:t>
        <w:tab/>
        <w:t>所有患者出院后由我院组织进行病例及电话随访，电话随访每年一次</w:t>
      </w:r>
      <w:r>
        <w:rPr>
          <w:spacing w:val="-17"/>
          <w:sz w:val="24"/>
        </w:rPr>
        <w:t>， </w:t>
      </w:r>
      <w:r>
        <w:rPr>
          <w:sz w:val="24"/>
        </w:rPr>
        <w:t>直至患者死亡，记录患者生存状况。</w:t>
      </w:r>
    </w:p>
    <w:p>
      <w:pPr>
        <w:pStyle w:val="ListParagraph"/>
        <w:numPr>
          <w:ilvl w:val="1"/>
          <w:numId w:val="4"/>
        </w:numPr>
        <w:tabs>
          <w:tab w:pos="1178" w:val="left" w:leader="none"/>
        </w:tabs>
        <w:spacing w:line="295" w:lineRule="auto" w:before="0" w:after="0"/>
        <w:ind w:left="217" w:right="1128" w:firstLine="480"/>
        <w:jc w:val="both"/>
        <w:rPr>
          <w:sz w:val="24"/>
        </w:rPr>
      </w:pPr>
      <w:r>
        <w:rPr>
          <w:sz w:val="24"/>
        </w:rPr>
        <w:t>统计学处理 采集数据运用spss17.0及R3.4.1</w:t>
      </w:r>
      <w:r>
        <w:rPr>
          <w:spacing w:val="-11"/>
          <w:sz w:val="24"/>
        </w:rPr>
        <w:t>进行统计学处理，采用</w:t>
      </w:r>
      <w:r>
        <w:rPr>
          <w:spacing w:val="-2"/>
          <w:sz w:val="24"/>
        </w:rPr>
        <w:t>kaplan-meier </w:t>
      </w:r>
      <w:r>
        <w:rPr>
          <w:sz w:val="24"/>
        </w:rPr>
        <w:t>法拟合生存曲线，组间生存率比较采用log-rank法，COX比例风险模型筛选影响预后的危险因素，根据COX回归结果构建非小细胞肺癌患者预后生存风险列线图，显著性检验水准为</w:t>
      </w:r>
    </w:p>
    <w:p>
      <w:pPr>
        <w:pStyle w:val="BodyText"/>
        <w:spacing w:before="4"/>
      </w:pPr>
      <w:r>
        <w:rPr/>
        <w:t>a=0.05。</w:t>
      </w:r>
    </w:p>
    <w:p>
      <w:pPr>
        <w:pStyle w:val="Heading3"/>
        <w:numPr>
          <w:ilvl w:val="0"/>
          <w:numId w:val="4"/>
        </w:numPr>
        <w:tabs>
          <w:tab w:pos="942" w:val="left" w:leader="none"/>
        </w:tabs>
        <w:spacing w:line="240" w:lineRule="auto" w:before="72" w:after="0"/>
        <w:ind w:left="942" w:right="0" w:hanging="243"/>
        <w:jc w:val="left"/>
        <w:rPr>
          <w:rFonts w:ascii="宋体" w:eastAsia="宋体" w:hint="eastAsia"/>
        </w:rPr>
      </w:pPr>
      <w:r>
        <w:rPr>
          <w:rFonts w:ascii="宋体" w:eastAsia="宋体" w:hint="eastAsia"/>
        </w:rPr>
        <w:t>结果</w:t>
      </w:r>
    </w:p>
    <w:p>
      <w:pPr>
        <w:pStyle w:val="ListParagraph"/>
        <w:numPr>
          <w:ilvl w:val="1"/>
          <w:numId w:val="5"/>
        </w:numPr>
        <w:tabs>
          <w:tab w:pos="1059" w:val="left" w:leader="none"/>
        </w:tabs>
        <w:spacing w:line="297" w:lineRule="auto" w:before="72" w:after="0"/>
        <w:ind w:left="217" w:right="1127" w:firstLine="480"/>
        <w:jc w:val="both"/>
        <w:rPr>
          <w:sz w:val="24"/>
        </w:rPr>
      </w:pPr>
      <w:r>
        <w:rPr>
          <w:sz w:val="24"/>
        </w:rPr>
        <w:t>患者生存情况及单因素分析结果 1 465例患者中有659例患者死亡，患者总体中位生存期为913</w:t>
      </w:r>
      <w:r>
        <w:rPr>
          <w:spacing w:val="-8"/>
          <w:sz w:val="24"/>
        </w:rPr>
        <w:t>天，患者一般情况及单因素分析结果见表</w:t>
      </w:r>
      <w:r>
        <w:rPr>
          <w:sz w:val="24"/>
        </w:rPr>
        <w:t>1</w:t>
      </w:r>
      <w:r>
        <w:rPr>
          <w:spacing w:val="-9"/>
          <w:sz w:val="24"/>
        </w:rPr>
        <w:t>。差异有统计学意义的生存曲线见图</w:t>
      </w:r>
    </w:p>
    <w:p>
      <w:pPr>
        <w:pStyle w:val="BodyText"/>
        <w:spacing w:line="306" w:lineRule="exact"/>
      </w:pPr>
      <w:r>
        <w:rPr/>
        <w:t>1。</w:t>
      </w:r>
    </w:p>
    <w:p>
      <w:pPr>
        <w:spacing w:before="14" w:after="10"/>
        <w:ind w:left="217" w:right="0" w:firstLine="0"/>
        <w:jc w:val="left"/>
        <w:rPr>
          <w:rFonts w:ascii="华文楷体" w:eastAsia="华文楷体" w:hint="eastAsia"/>
          <w:sz w:val="18"/>
        </w:rPr>
      </w:pPr>
      <w:r>
        <w:rPr>
          <w:rFonts w:ascii="华文楷体" w:eastAsia="华文楷体" w:hint="eastAsia"/>
          <w:sz w:val="18"/>
        </w:rPr>
        <w:t>表 1 患者基本情况及单因素分析结果</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9"/>
        <w:gridCol w:w="1862"/>
        <w:gridCol w:w="1621"/>
        <w:gridCol w:w="3149"/>
        <w:gridCol w:w="1305"/>
      </w:tblGrid>
      <w:tr>
        <w:trPr>
          <w:trHeight w:val="352" w:hRule="atLeast"/>
        </w:trPr>
        <w:tc>
          <w:tcPr>
            <w:tcW w:w="1779" w:type="dxa"/>
            <w:tcBorders>
              <w:top w:val="single" w:sz="4" w:space="0" w:color="000000"/>
              <w:bottom w:val="single" w:sz="4" w:space="0" w:color="000000"/>
            </w:tcBorders>
          </w:tcPr>
          <w:p>
            <w:pPr>
              <w:pStyle w:val="TableParagraph"/>
              <w:spacing w:before="14"/>
              <w:ind w:left="108"/>
              <w:rPr>
                <w:rFonts w:ascii="宋体" w:eastAsia="宋体" w:hint="eastAsia"/>
                <w:sz w:val="18"/>
              </w:rPr>
            </w:pPr>
            <w:r>
              <w:rPr>
                <w:rFonts w:ascii="宋体" w:eastAsia="宋体" w:hint="eastAsia"/>
                <w:sz w:val="18"/>
              </w:rPr>
              <w:t>因素</w:t>
            </w:r>
          </w:p>
        </w:tc>
        <w:tc>
          <w:tcPr>
            <w:tcW w:w="1862" w:type="dxa"/>
            <w:tcBorders>
              <w:top w:val="single" w:sz="4" w:space="0" w:color="000000"/>
              <w:bottom w:val="single" w:sz="4" w:space="0" w:color="000000"/>
            </w:tcBorders>
          </w:tcPr>
          <w:p>
            <w:pPr>
              <w:pStyle w:val="TableParagraph"/>
              <w:spacing w:before="14"/>
              <w:ind w:left="230"/>
              <w:rPr>
                <w:rFonts w:ascii="宋体" w:eastAsia="宋体" w:hint="eastAsia"/>
                <w:sz w:val="18"/>
              </w:rPr>
            </w:pPr>
            <w:r>
              <w:rPr>
                <w:rFonts w:ascii="宋体" w:eastAsia="宋体" w:hint="eastAsia"/>
                <w:sz w:val="18"/>
              </w:rPr>
              <w:t>水平</w:t>
            </w:r>
          </w:p>
        </w:tc>
        <w:tc>
          <w:tcPr>
            <w:tcW w:w="1621" w:type="dxa"/>
            <w:tcBorders>
              <w:top w:val="single" w:sz="4" w:space="0" w:color="000000"/>
              <w:bottom w:val="single" w:sz="4" w:space="0" w:color="000000"/>
            </w:tcBorders>
          </w:tcPr>
          <w:p>
            <w:pPr>
              <w:pStyle w:val="TableParagraph"/>
              <w:spacing w:before="26"/>
              <w:ind w:left="956"/>
              <w:rPr>
                <w:sz w:val="18"/>
              </w:rPr>
            </w:pPr>
            <w:r>
              <w:rPr>
                <w:sz w:val="18"/>
              </w:rPr>
              <w:t>n</w:t>
            </w:r>
          </w:p>
        </w:tc>
        <w:tc>
          <w:tcPr>
            <w:tcW w:w="3149" w:type="dxa"/>
            <w:tcBorders>
              <w:top w:val="single" w:sz="4" w:space="0" w:color="000000"/>
              <w:bottom w:val="single" w:sz="4" w:space="0" w:color="000000"/>
            </w:tcBorders>
          </w:tcPr>
          <w:p>
            <w:pPr>
              <w:pStyle w:val="TableParagraph"/>
              <w:spacing w:before="14"/>
              <w:ind w:left="302"/>
              <w:rPr>
                <w:rFonts w:ascii="宋体" w:eastAsia="宋体" w:hint="eastAsia"/>
                <w:sz w:val="18"/>
              </w:rPr>
            </w:pPr>
            <w:r>
              <w:rPr>
                <w:rFonts w:ascii="宋体" w:eastAsia="宋体" w:hint="eastAsia"/>
                <w:spacing w:val="-14"/>
                <w:sz w:val="18"/>
              </w:rPr>
              <w:t>中位生存时间</w:t>
            </w:r>
            <w:r>
              <w:rPr>
                <w:rFonts w:ascii="宋体" w:eastAsia="宋体" w:hint="eastAsia"/>
                <w:spacing w:val="-1"/>
                <w:sz w:val="18"/>
              </w:rPr>
              <w:t>（</w:t>
            </w:r>
            <w:r>
              <w:rPr>
                <w:spacing w:val="1"/>
                <w:sz w:val="18"/>
              </w:rPr>
              <w:t>95</w:t>
            </w:r>
            <w:r>
              <w:rPr>
                <w:spacing w:val="-2"/>
                <w:sz w:val="18"/>
              </w:rPr>
              <w:t>%</w:t>
            </w:r>
            <w:r>
              <w:rPr>
                <w:rFonts w:ascii="宋体" w:eastAsia="宋体" w:hint="eastAsia"/>
                <w:sz w:val="18"/>
              </w:rPr>
              <w:t>可信区间</w:t>
            </w:r>
            <w:r>
              <w:rPr>
                <w:rFonts w:ascii="宋体" w:eastAsia="宋体" w:hint="eastAsia"/>
                <w:spacing w:val="-166"/>
                <w:sz w:val="18"/>
              </w:rPr>
              <w:t>）</w:t>
            </w:r>
            <w:r>
              <w:rPr>
                <w:rFonts w:ascii="宋体" w:eastAsia="宋体" w:hint="eastAsia"/>
                <w:spacing w:val="-3"/>
                <w:sz w:val="18"/>
              </w:rPr>
              <w:t>（</w:t>
            </w:r>
            <w:r>
              <w:rPr>
                <w:rFonts w:ascii="宋体" w:eastAsia="宋体" w:hint="eastAsia"/>
                <w:sz w:val="18"/>
              </w:rPr>
              <w:t>天）</w:t>
            </w:r>
          </w:p>
        </w:tc>
        <w:tc>
          <w:tcPr>
            <w:tcW w:w="1305" w:type="dxa"/>
            <w:tcBorders>
              <w:top w:val="single" w:sz="4" w:space="0" w:color="000000"/>
              <w:bottom w:val="single" w:sz="4" w:space="0" w:color="000000"/>
            </w:tcBorders>
          </w:tcPr>
          <w:p>
            <w:pPr>
              <w:pStyle w:val="TableParagraph"/>
              <w:spacing w:before="26"/>
              <w:ind w:left="63"/>
              <w:rPr>
                <w:i/>
                <w:sz w:val="18"/>
              </w:rPr>
            </w:pPr>
            <w:r>
              <w:rPr>
                <w:i/>
                <w:sz w:val="18"/>
              </w:rPr>
              <w:t>P</w:t>
            </w:r>
          </w:p>
        </w:tc>
      </w:tr>
      <w:tr>
        <w:trPr>
          <w:trHeight w:val="251" w:hRule="atLeast"/>
        </w:trPr>
        <w:tc>
          <w:tcPr>
            <w:tcW w:w="1779" w:type="dxa"/>
            <w:tcBorders>
              <w:top w:val="single" w:sz="4" w:space="0" w:color="000000"/>
            </w:tcBorders>
          </w:tcPr>
          <w:p>
            <w:pPr>
              <w:pStyle w:val="TableParagraph"/>
              <w:spacing w:line="219" w:lineRule="exact" w:before="11"/>
              <w:ind w:left="108"/>
              <w:rPr>
                <w:rFonts w:ascii="宋体" w:eastAsia="宋体" w:hint="eastAsia"/>
                <w:sz w:val="18"/>
              </w:rPr>
            </w:pPr>
            <w:r>
              <w:rPr>
                <w:rFonts w:ascii="宋体" w:eastAsia="宋体" w:hint="eastAsia"/>
                <w:sz w:val="18"/>
              </w:rPr>
              <w:t>年龄</w:t>
            </w:r>
          </w:p>
        </w:tc>
        <w:tc>
          <w:tcPr>
            <w:tcW w:w="1862" w:type="dxa"/>
            <w:tcBorders>
              <w:top w:val="single" w:sz="4" w:space="0" w:color="000000"/>
            </w:tcBorders>
          </w:tcPr>
          <w:p>
            <w:pPr>
              <w:pStyle w:val="TableParagraph"/>
              <w:spacing w:before="23"/>
              <w:ind w:left="230"/>
              <w:rPr>
                <w:sz w:val="18"/>
              </w:rPr>
            </w:pPr>
            <w:r>
              <w:rPr>
                <w:sz w:val="18"/>
              </w:rPr>
              <w:t>&lt;65</w:t>
            </w:r>
          </w:p>
        </w:tc>
        <w:tc>
          <w:tcPr>
            <w:tcW w:w="1621" w:type="dxa"/>
            <w:tcBorders>
              <w:top w:val="single" w:sz="4" w:space="0" w:color="000000"/>
            </w:tcBorders>
          </w:tcPr>
          <w:p>
            <w:pPr>
              <w:pStyle w:val="TableParagraph"/>
              <w:spacing w:before="23"/>
              <w:ind w:left="956"/>
              <w:rPr>
                <w:sz w:val="18"/>
              </w:rPr>
            </w:pPr>
            <w:r>
              <w:rPr>
                <w:sz w:val="18"/>
              </w:rPr>
              <w:t>794</w:t>
            </w:r>
          </w:p>
        </w:tc>
        <w:tc>
          <w:tcPr>
            <w:tcW w:w="3149" w:type="dxa"/>
            <w:tcBorders>
              <w:top w:val="single" w:sz="4" w:space="0" w:color="000000"/>
            </w:tcBorders>
          </w:tcPr>
          <w:p>
            <w:pPr>
              <w:pStyle w:val="TableParagraph"/>
              <w:spacing w:line="219" w:lineRule="exact" w:before="11"/>
              <w:ind w:left="302"/>
              <w:rPr>
                <w:rFonts w:ascii="宋体" w:eastAsia="宋体" w:hint="eastAsia"/>
                <w:sz w:val="18"/>
              </w:rPr>
            </w:pPr>
            <w:r>
              <w:rPr>
                <w:sz w:val="18"/>
              </w:rPr>
              <w:t>1033</w:t>
            </w:r>
            <w:r>
              <w:rPr>
                <w:rFonts w:ascii="宋体" w:eastAsia="宋体" w:hint="eastAsia"/>
                <w:sz w:val="18"/>
              </w:rPr>
              <w:t>（</w:t>
            </w:r>
            <w:r>
              <w:rPr>
                <w:sz w:val="18"/>
              </w:rPr>
              <w:t>908</w:t>
            </w:r>
            <w:r>
              <w:rPr>
                <w:rFonts w:ascii="宋体" w:eastAsia="宋体" w:hint="eastAsia"/>
                <w:sz w:val="18"/>
              </w:rPr>
              <w:t>～</w:t>
            </w:r>
            <w:r>
              <w:rPr>
                <w:sz w:val="18"/>
              </w:rPr>
              <w:t>1158</w:t>
            </w:r>
            <w:r>
              <w:rPr>
                <w:rFonts w:ascii="宋体" w:eastAsia="宋体" w:hint="eastAsia"/>
                <w:sz w:val="18"/>
              </w:rPr>
              <w:t>）</w:t>
            </w:r>
          </w:p>
        </w:tc>
        <w:tc>
          <w:tcPr>
            <w:tcW w:w="1305" w:type="dxa"/>
            <w:tcBorders>
              <w:top w:val="single" w:sz="4" w:space="0" w:color="000000"/>
            </w:tcBorders>
          </w:tcPr>
          <w:p>
            <w:pPr>
              <w:pStyle w:val="TableParagraph"/>
              <w:spacing w:before="23"/>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sz w:val="18"/>
              </w:rPr>
            </w:pPr>
            <w:r>
              <w:rPr>
                <w:rFonts w:ascii="宋体" w:hAnsi="宋体"/>
                <w:sz w:val="18"/>
              </w:rPr>
              <w:t>≥</w:t>
            </w:r>
            <w:r>
              <w:rPr>
                <w:sz w:val="18"/>
              </w:rPr>
              <w:t>65</w:t>
            </w:r>
          </w:p>
        </w:tc>
        <w:tc>
          <w:tcPr>
            <w:tcW w:w="1621" w:type="dxa"/>
          </w:tcPr>
          <w:p>
            <w:pPr>
              <w:pStyle w:val="TableParagraph"/>
              <w:spacing w:before="12"/>
              <w:ind w:left="956"/>
              <w:rPr>
                <w:sz w:val="18"/>
              </w:rPr>
            </w:pPr>
            <w:r>
              <w:rPr>
                <w:sz w:val="18"/>
              </w:rPr>
              <w:t>671</w:t>
            </w:r>
          </w:p>
        </w:tc>
        <w:tc>
          <w:tcPr>
            <w:tcW w:w="3149" w:type="dxa"/>
          </w:tcPr>
          <w:p>
            <w:pPr>
              <w:pStyle w:val="TableParagraph"/>
              <w:spacing w:line="219" w:lineRule="exact"/>
              <w:ind w:left="302"/>
              <w:rPr>
                <w:rFonts w:ascii="宋体" w:eastAsia="宋体" w:hint="eastAsia"/>
                <w:sz w:val="18"/>
              </w:rPr>
            </w:pPr>
            <w:r>
              <w:rPr>
                <w:sz w:val="18"/>
              </w:rPr>
              <w:t>798</w:t>
            </w:r>
            <w:r>
              <w:rPr>
                <w:rFonts w:ascii="宋体" w:eastAsia="宋体" w:hint="eastAsia"/>
                <w:sz w:val="18"/>
              </w:rPr>
              <w:t>（</w:t>
            </w:r>
            <w:r>
              <w:rPr>
                <w:sz w:val="18"/>
              </w:rPr>
              <w:t>704</w:t>
            </w:r>
            <w:r>
              <w:rPr>
                <w:rFonts w:ascii="宋体" w:eastAsia="宋体" w:hint="eastAsia"/>
                <w:sz w:val="18"/>
              </w:rPr>
              <w:t>～</w:t>
            </w:r>
            <w:r>
              <w:rPr>
                <w:sz w:val="18"/>
              </w:rPr>
              <w:t>892</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before="1"/>
              <w:ind w:left="108"/>
              <w:rPr>
                <w:rFonts w:ascii="宋体" w:eastAsia="宋体" w:hint="eastAsia"/>
                <w:sz w:val="18"/>
              </w:rPr>
            </w:pPr>
            <w:r>
              <w:rPr>
                <w:rFonts w:ascii="宋体" w:eastAsia="宋体" w:hint="eastAsia"/>
                <w:sz w:val="18"/>
              </w:rPr>
              <w:t>性别</w:t>
            </w:r>
          </w:p>
        </w:tc>
        <w:tc>
          <w:tcPr>
            <w:tcW w:w="1862" w:type="dxa"/>
          </w:tcPr>
          <w:p>
            <w:pPr>
              <w:pStyle w:val="TableParagraph"/>
              <w:spacing w:line="219" w:lineRule="exact" w:before="1"/>
              <w:ind w:left="230"/>
              <w:rPr>
                <w:rFonts w:ascii="宋体" w:eastAsia="宋体" w:hint="eastAsia"/>
                <w:sz w:val="18"/>
              </w:rPr>
            </w:pPr>
            <w:r>
              <w:rPr>
                <w:rFonts w:ascii="宋体" w:eastAsia="宋体" w:hint="eastAsia"/>
                <w:sz w:val="18"/>
              </w:rPr>
              <w:t>男</w:t>
            </w:r>
          </w:p>
        </w:tc>
        <w:tc>
          <w:tcPr>
            <w:tcW w:w="1621" w:type="dxa"/>
          </w:tcPr>
          <w:p>
            <w:pPr>
              <w:pStyle w:val="TableParagraph"/>
              <w:spacing w:before="13"/>
              <w:ind w:left="956"/>
              <w:rPr>
                <w:sz w:val="18"/>
              </w:rPr>
            </w:pPr>
            <w:r>
              <w:rPr>
                <w:sz w:val="18"/>
              </w:rPr>
              <w:t>969</w:t>
            </w:r>
          </w:p>
        </w:tc>
        <w:tc>
          <w:tcPr>
            <w:tcW w:w="3149" w:type="dxa"/>
          </w:tcPr>
          <w:p>
            <w:pPr>
              <w:pStyle w:val="TableParagraph"/>
              <w:spacing w:line="219" w:lineRule="exact" w:before="1"/>
              <w:ind w:left="302"/>
              <w:rPr>
                <w:sz w:val="18"/>
              </w:rPr>
            </w:pPr>
            <w:r>
              <w:rPr>
                <w:sz w:val="18"/>
              </w:rPr>
              <w:t>827(749</w:t>
            </w:r>
            <w:r>
              <w:rPr>
                <w:rFonts w:ascii="宋体" w:eastAsia="宋体" w:hint="eastAsia"/>
                <w:sz w:val="18"/>
              </w:rPr>
              <w:t>～</w:t>
            </w:r>
            <w:r>
              <w:rPr>
                <w:sz w:val="18"/>
              </w:rPr>
              <w:t>905)</w:t>
            </w:r>
          </w:p>
        </w:tc>
        <w:tc>
          <w:tcPr>
            <w:tcW w:w="1305" w:type="dxa"/>
            <w:vMerge w:val="restart"/>
          </w:tcPr>
          <w:p>
            <w:pPr>
              <w:pStyle w:val="TableParagraph"/>
              <w:spacing w:before="13"/>
              <w:ind w:left="63"/>
              <w:rPr>
                <w:sz w:val="18"/>
              </w:rPr>
            </w:pPr>
            <w:r>
              <w:rPr>
                <w:sz w:val="18"/>
              </w:rPr>
              <w:t>P&lt;0.05</w:t>
            </w:r>
          </w:p>
          <w:p>
            <w:pPr>
              <w:pStyle w:val="TableParagraph"/>
              <w:spacing w:before="33"/>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女</w:t>
            </w:r>
          </w:p>
        </w:tc>
        <w:tc>
          <w:tcPr>
            <w:tcW w:w="1621" w:type="dxa"/>
          </w:tcPr>
          <w:p>
            <w:pPr>
              <w:pStyle w:val="TableParagraph"/>
              <w:spacing w:before="12"/>
              <w:ind w:left="956"/>
              <w:rPr>
                <w:sz w:val="18"/>
              </w:rPr>
            </w:pPr>
            <w:r>
              <w:rPr>
                <w:sz w:val="18"/>
              </w:rPr>
              <w:t>496</w:t>
            </w:r>
          </w:p>
        </w:tc>
        <w:tc>
          <w:tcPr>
            <w:tcW w:w="3149" w:type="dxa"/>
          </w:tcPr>
          <w:p>
            <w:pPr>
              <w:pStyle w:val="TableParagraph"/>
              <w:spacing w:line="219" w:lineRule="exact"/>
              <w:ind w:left="302"/>
              <w:rPr>
                <w:sz w:val="18"/>
              </w:rPr>
            </w:pPr>
            <w:r>
              <w:rPr>
                <w:sz w:val="18"/>
              </w:rPr>
              <w:t>1145(984</w:t>
            </w:r>
            <w:r>
              <w:rPr>
                <w:rFonts w:ascii="宋体" w:eastAsia="宋体" w:hint="eastAsia"/>
                <w:sz w:val="18"/>
              </w:rPr>
              <w:t>～</w:t>
            </w:r>
            <w:r>
              <w:rPr>
                <w:sz w:val="18"/>
              </w:rPr>
              <w:t>1306)</w:t>
            </w:r>
          </w:p>
        </w:tc>
        <w:tc>
          <w:tcPr>
            <w:tcW w:w="1305" w:type="dxa"/>
            <w:vMerge/>
            <w:tcBorders>
              <w:top w:val="nil"/>
            </w:tcBorders>
          </w:tcPr>
          <w:p>
            <w:pPr>
              <w:rPr>
                <w:sz w:val="2"/>
                <w:szCs w:val="2"/>
              </w:rPr>
            </w:pPr>
          </w:p>
        </w:tc>
      </w:tr>
      <w:tr>
        <w:trPr>
          <w:trHeight w:val="240" w:hRule="atLeast"/>
        </w:trPr>
        <w:tc>
          <w:tcPr>
            <w:tcW w:w="1779" w:type="dxa"/>
          </w:tcPr>
          <w:p>
            <w:pPr>
              <w:pStyle w:val="TableParagraph"/>
              <w:spacing w:before="12"/>
              <w:ind w:left="108"/>
              <w:rPr>
                <w:sz w:val="18"/>
              </w:rPr>
            </w:pPr>
            <w:r>
              <w:rPr>
                <w:sz w:val="18"/>
              </w:rPr>
              <w:t>TNM</w:t>
            </w:r>
          </w:p>
        </w:tc>
        <w:tc>
          <w:tcPr>
            <w:tcW w:w="1862" w:type="dxa"/>
          </w:tcPr>
          <w:p>
            <w:pPr>
              <w:pStyle w:val="TableParagraph"/>
              <w:spacing w:before="12"/>
              <w:ind w:left="230"/>
              <w:rPr>
                <w:sz w:val="18"/>
              </w:rPr>
            </w:pPr>
            <w:r>
              <w:rPr>
                <w:w w:val="99"/>
                <w:sz w:val="18"/>
              </w:rPr>
              <w:t>I</w:t>
            </w:r>
          </w:p>
        </w:tc>
        <w:tc>
          <w:tcPr>
            <w:tcW w:w="1621" w:type="dxa"/>
          </w:tcPr>
          <w:p>
            <w:pPr>
              <w:pStyle w:val="TableParagraph"/>
              <w:spacing w:before="12"/>
              <w:ind w:left="956"/>
              <w:rPr>
                <w:sz w:val="18"/>
              </w:rPr>
            </w:pPr>
            <w:r>
              <w:rPr>
                <w:sz w:val="18"/>
              </w:rPr>
              <w:t>172</w:t>
            </w:r>
          </w:p>
        </w:tc>
        <w:tc>
          <w:tcPr>
            <w:tcW w:w="3149" w:type="dxa"/>
          </w:tcPr>
          <w:p>
            <w:pPr>
              <w:pStyle w:val="TableParagraph"/>
              <w:spacing w:line="219" w:lineRule="exact"/>
              <w:ind w:left="302"/>
              <w:rPr>
                <w:sz w:val="18"/>
              </w:rPr>
            </w:pPr>
            <w:r>
              <w:rPr>
                <w:sz w:val="18"/>
              </w:rPr>
              <w:t>2858(1992</w:t>
            </w:r>
            <w:r>
              <w:rPr>
                <w:rFonts w:ascii="宋体" w:eastAsia="宋体" w:hint="eastAsia"/>
                <w:sz w:val="18"/>
              </w:rPr>
              <w:t>～</w:t>
            </w:r>
            <w:r>
              <w:rPr>
                <w:sz w:val="18"/>
              </w:rPr>
              <w:t>3724)</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before="12"/>
              <w:ind w:left="230"/>
              <w:rPr>
                <w:sz w:val="18"/>
              </w:rPr>
            </w:pPr>
            <w:r>
              <w:rPr>
                <w:sz w:val="18"/>
              </w:rPr>
              <w:t>II</w:t>
            </w:r>
          </w:p>
        </w:tc>
        <w:tc>
          <w:tcPr>
            <w:tcW w:w="1621" w:type="dxa"/>
          </w:tcPr>
          <w:p>
            <w:pPr>
              <w:pStyle w:val="TableParagraph"/>
              <w:spacing w:before="12"/>
              <w:ind w:left="956"/>
              <w:rPr>
                <w:sz w:val="18"/>
              </w:rPr>
            </w:pPr>
            <w:r>
              <w:rPr>
                <w:sz w:val="18"/>
              </w:rPr>
              <w:t>183</w:t>
            </w:r>
          </w:p>
        </w:tc>
        <w:tc>
          <w:tcPr>
            <w:tcW w:w="3149" w:type="dxa"/>
          </w:tcPr>
          <w:p>
            <w:pPr>
              <w:pStyle w:val="TableParagraph"/>
              <w:spacing w:line="219" w:lineRule="exact"/>
              <w:ind w:left="302"/>
              <w:rPr>
                <w:sz w:val="18"/>
              </w:rPr>
            </w:pPr>
            <w:r>
              <w:rPr>
                <w:sz w:val="18"/>
              </w:rPr>
              <w:t>1462(943</w:t>
            </w:r>
            <w:r>
              <w:rPr>
                <w:rFonts w:ascii="宋体" w:eastAsia="宋体" w:hint="eastAsia"/>
                <w:sz w:val="18"/>
              </w:rPr>
              <w:t>～</w:t>
            </w:r>
            <w:r>
              <w:rPr>
                <w:sz w:val="18"/>
              </w:rPr>
              <w:t>1981)</w:t>
            </w:r>
          </w:p>
        </w:tc>
        <w:tc>
          <w:tcPr>
            <w:tcW w:w="1305" w:type="dxa"/>
          </w:tcPr>
          <w:p>
            <w:pPr>
              <w:pStyle w:val="TableParagraph"/>
              <w:rPr>
                <w:sz w:val="16"/>
              </w:rPr>
            </w:pPr>
          </w:p>
        </w:tc>
      </w:tr>
      <w:tr>
        <w:trPr>
          <w:trHeight w:val="240" w:hRule="atLeast"/>
        </w:trPr>
        <w:tc>
          <w:tcPr>
            <w:tcW w:w="1779" w:type="dxa"/>
          </w:tcPr>
          <w:p>
            <w:pPr>
              <w:pStyle w:val="TableParagraph"/>
              <w:rPr>
                <w:sz w:val="16"/>
              </w:rPr>
            </w:pPr>
          </w:p>
        </w:tc>
        <w:tc>
          <w:tcPr>
            <w:tcW w:w="1862" w:type="dxa"/>
          </w:tcPr>
          <w:p>
            <w:pPr>
              <w:pStyle w:val="TableParagraph"/>
              <w:spacing w:before="12"/>
              <w:ind w:left="230"/>
              <w:rPr>
                <w:sz w:val="18"/>
              </w:rPr>
            </w:pPr>
            <w:r>
              <w:rPr>
                <w:sz w:val="18"/>
              </w:rPr>
              <w:t>III</w:t>
            </w:r>
          </w:p>
        </w:tc>
        <w:tc>
          <w:tcPr>
            <w:tcW w:w="1621" w:type="dxa"/>
          </w:tcPr>
          <w:p>
            <w:pPr>
              <w:pStyle w:val="TableParagraph"/>
              <w:spacing w:before="12"/>
              <w:ind w:left="956"/>
              <w:rPr>
                <w:sz w:val="18"/>
              </w:rPr>
            </w:pPr>
            <w:r>
              <w:rPr>
                <w:sz w:val="18"/>
              </w:rPr>
              <w:t>482</w:t>
            </w:r>
          </w:p>
        </w:tc>
        <w:tc>
          <w:tcPr>
            <w:tcW w:w="3149" w:type="dxa"/>
          </w:tcPr>
          <w:p>
            <w:pPr>
              <w:pStyle w:val="TableParagraph"/>
              <w:spacing w:line="219" w:lineRule="exact"/>
              <w:ind w:left="302"/>
              <w:rPr>
                <w:sz w:val="18"/>
              </w:rPr>
            </w:pPr>
            <w:r>
              <w:rPr>
                <w:sz w:val="18"/>
              </w:rPr>
              <w:t>945(771</w:t>
            </w:r>
            <w:r>
              <w:rPr>
                <w:rFonts w:ascii="宋体" w:eastAsia="宋体" w:hint="eastAsia"/>
                <w:sz w:val="18"/>
              </w:rPr>
              <w:t>～</w:t>
            </w:r>
            <w:r>
              <w:rPr>
                <w:sz w:val="18"/>
              </w:rPr>
              <w:t>1119)</w:t>
            </w:r>
          </w:p>
        </w:tc>
        <w:tc>
          <w:tcPr>
            <w:tcW w:w="1305" w:type="dxa"/>
          </w:tcPr>
          <w:p>
            <w:pPr>
              <w:pStyle w:val="TableParagraph"/>
              <w:rPr>
                <w:sz w:val="16"/>
              </w:rPr>
            </w:pPr>
          </w:p>
        </w:tc>
      </w:tr>
      <w:tr>
        <w:trPr>
          <w:trHeight w:val="240" w:hRule="atLeast"/>
        </w:trPr>
        <w:tc>
          <w:tcPr>
            <w:tcW w:w="1779" w:type="dxa"/>
          </w:tcPr>
          <w:p>
            <w:pPr>
              <w:pStyle w:val="TableParagraph"/>
              <w:rPr>
                <w:sz w:val="16"/>
              </w:rPr>
            </w:pPr>
          </w:p>
        </w:tc>
        <w:tc>
          <w:tcPr>
            <w:tcW w:w="1862" w:type="dxa"/>
          </w:tcPr>
          <w:p>
            <w:pPr>
              <w:pStyle w:val="TableParagraph"/>
              <w:spacing w:before="12"/>
              <w:ind w:left="230"/>
              <w:rPr>
                <w:sz w:val="18"/>
              </w:rPr>
            </w:pPr>
            <w:r>
              <w:rPr>
                <w:sz w:val="18"/>
              </w:rPr>
              <w:t>IV</w:t>
            </w:r>
          </w:p>
        </w:tc>
        <w:tc>
          <w:tcPr>
            <w:tcW w:w="1621" w:type="dxa"/>
          </w:tcPr>
          <w:p>
            <w:pPr>
              <w:pStyle w:val="TableParagraph"/>
              <w:spacing w:before="12"/>
              <w:ind w:left="956"/>
              <w:rPr>
                <w:sz w:val="18"/>
              </w:rPr>
            </w:pPr>
            <w:r>
              <w:rPr>
                <w:sz w:val="18"/>
              </w:rPr>
              <w:t>628</w:t>
            </w:r>
          </w:p>
        </w:tc>
        <w:tc>
          <w:tcPr>
            <w:tcW w:w="3149" w:type="dxa"/>
          </w:tcPr>
          <w:p>
            <w:pPr>
              <w:pStyle w:val="TableParagraph"/>
              <w:spacing w:line="219" w:lineRule="exact"/>
              <w:ind w:left="302"/>
              <w:rPr>
                <w:sz w:val="18"/>
              </w:rPr>
            </w:pPr>
            <w:r>
              <w:rPr>
                <w:sz w:val="18"/>
              </w:rPr>
              <w:t>540(481</w:t>
            </w:r>
            <w:r>
              <w:rPr>
                <w:rFonts w:ascii="宋体" w:eastAsia="宋体" w:hint="eastAsia"/>
                <w:sz w:val="18"/>
              </w:rPr>
              <w:t>～</w:t>
            </w:r>
            <w:r>
              <w:rPr>
                <w:sz w:val="18"/>
              </w:rPr>
              <w:t>599)</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肺癌发生部位</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单叶</w:t>
            </w:r>
          </w:p>
        </w:tc>
        <w:tc>
          <w:tcPr>
            <w:tcW w:w="1621" w:type="dxa"/>
          </w:tcPr>
          <w:p>
            <w:pPr>
              <w:pStyle w:val="TableParagraph"/>
              <w:spacing w:before="12"/>
              <w:ind w:left="956"/>
              <w:rPr>
                <w:sz w:val="18"/>
              </w:rPr>
            </w:pPr>
            <w:r>
              <w:rPr>
                <w:sz w:val="18"/>
              </w:rPr>
              <w:t>1175</w:t>
            </w:r>
          </w:p>
        </w:tc>
        <w:tc>
          <w:tcPr>
            <w:tcW w:w="3149" w:type="dxa"/>
          </w:tcPr>
          <w:p>
            <w:pPr>
              <w:pStyle w:val="TableParagraph"/>
              <w:spacing w:line="219" w:lineRule="exact"/>
              <w:ind w:left="302"/>
              <w:rPr>
                <w:rFonts w:ascii="宋体" w:eastAsia="宋体" w:hint="eastAsia"/>
                <w:sz w:val="18"/>
              </w:rPr>
            </w:pPr>
            <w:r>
              <w:rPr>
                <w:sz w:val="18"/>
              </w:rPr>
              <w:t>967</w:t>
            </w:r>
            <w:r>
              <w:rPr>
                <w:rFonts w:ascii="宋体" w:eastAsia="宋体" w:hint="eastAsia"/>
                <w:sz w:val="18"/>
              </w:rPr>
              <w:t>（</w:t>
            </w:r>
            <w:r>
              <w:rPr>
                <w:sz w:val="18"/>
              </w:rPr>
              <w:t>856</w:t>
            </w:r>
            <w:r>
              <w:rPr>
                <w:rFonts w:ascii="宋体" w:eastAsia="宋体" w:hint="eastAsia"/>
                <w:sz w:val="18"/>
              </w:rPr>
              <w:t>～</w:t>
            </w:r>
            <w:r>
              <w:rPr>
                <w:sz w:val="18"/>
              </w:rPr>
              <w:t>1078</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多叶</w:t>
            </w:r>
          </w:p>
        </w:tc>
        <w:tc>
          <w:tcPr>
            <w:tcW w:w="1621" w:type="dxa"/>
          </w:tcPr>
          <w:p>
            <w:pPr>
              <w:pStyle w:val="TableParagraph"/>
              <w:spacing w:before="12"/>
              <w:ind w:left="956"/>
              <w:rPr>
                <w:sz w:val="18"/>
              </w:rPr>
            </w:pPr>
            <w:r>
              <w:rPr>
                <w:sz w:val="18"/>
              </w:rPr>
              <w:t>290</w:t>
            </w:r>
          </w:p>
        </w:tc>
        <w:tc>
          <w:tcPr>
            <w:tcW w:w="3149" w:type="dxa"/>
          </w:tcPr>
          <w:p>
            <w:pPr>
              <w:pStyle w:val="TableParagraph"/>
              <w:spacing w:line="219" w:lineRule="exact"/>
              <w:ind w:left="302"/>
              <w:rPr>
                <w:rFonts w:ascii="宋体" w:eastAsia="宋体" w:hint="eastAsia"/>
                <w:sz w:val="18"/>
              </w:rPr>
            </w:pPr>
            <w:r>
              <w:rPr>
                <w:sz w:val="18"/>
              </w:rPr>
              <w:t>710</w:t>
            </w:r>
            <w:r>
              <w:rPr>
                <w:rFonts w:ascii="宋体" w:eastAsia="宋体" w:hint="eastAsia"/>
                <w:sz w:val="18"/>
              </w:rPr>
              <w:t>（</w:t>
            </w:r>
            <w:r>
              <w:rPr>
                <w:sz w:val="18"/>
              </w:rPr>
              <w:t>548</w:t>
            </w:r>
            <w:r>
              <w:rPr>
                <w:rFonts w:ascii="宋体" w:eastAsia="宋体" w:hint="eastAsia"/>
                <w:sz w:val="18"/>
              </w:rPr>
              <w:t>～</w:t>
            </w:r>
            <w:r>
              <w:rPr>
                <w:sz w:val="18"/>
              </w:rPr>
              <w:t>871</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癌症类型</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腺癌</w:t>
            </w:r>
          </w:p>
        </w:tc>
        <w:tc>
          <w:tcPr>
            <w:tcW w:w="1621" w:type="dxa"/>
          </w:tcPr>
          <w:p>
            <w:pPr>
              <w:pStyle w:val="TableParagraph"/>
              <w:spacing w:before="12"/>
              <w:ind w:left="956"/>
              <w:rPr>
                <w:sz w:val="18"/>
              </w:rPr>
            </w:pPr>
            <w:r>
              <w:rPr>
                <w:sz w:val="18"/>
              </w:rPr>
              <w:t>930</w:t>
            </w:r>
          </w:p>
        </w:tc>
        <w:tc>
          <w:tcPr>
            <w:tcW w:w="3149" w:type="dxa"/>
          </w:tcPr>
          <w:p>
            <w:pPr>
              <w:pStyle w:val="TableParagraph"/>
              <w:spacing w:line="219" w:lineRule="exact"/>
              <w:ind w:left="302"/>
              <w:rPr>
                <w:rFonts w:ascii="宋体" w:eastAsia="宋体" w:hint="eastAsia"/>
                <w:sz w:val="18"/>
              </w:rPr>
            </w:pPr>
            <w:r>
              <w:rPr>
                <w:sz w:val="18"/>
              </w:rPr>
              <w:t>1021</w:t>
            </w:r>
            <w:r>
              <w:rPr>
                <w:rFonts w:ascii="宋体" w:eastAsia="宋体" w:hint="eastAsia"/>
                <w:sz w:val="18"/>
              </w:rPr>
              <w:t>（</w:t>
            </w:r>
            <w:r>
              <w:rPr>
                <w:sz w:val="18"/>
              </w:rPr>
              <w:t>915</w:t>
            </w:r>
            <w:r>
              <w:rPr>
                <w:rFonts w:ascii="宋体" w:eastAsia="宋体" w:hint="eastAsia"/>
                <w:sz w:val="18"/>
              </w:rPr>
              <w:t>～</w:t>
            </w:r>
            <w:r>
              <w:rPr>
                <w:sz w:val="18"/>
              </w:rPr>
              <w:t>1127</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鳞癌</w:t>
            </w:r>
          </w:p>
        </w:tc>
        <w:tc>
          <w:tcPr>
            <w:tcW w:w="1621" w:type="dxa"/>
          </w:tcPr>
          <w:p>
            <w:pPr>
              <w:pStyle w:val="TableParagraph"/>
              <w:spacing w:before="12"/>
              <w:ind w:left="956"/>
              <w:rPr>
                <w:sz w:val="18"/>
              </w:rPr>
            </w:pPr>
            <w:r>
              <w:rPr>
                <w:sz w:val="18"/>
              </w:rPr>
              <w:t>351</w:t>
            </w:r>
          </w:p>
        </w:tc>
        <w:tc>
          <w:tcPr>
            <w:tcW w:w="3149" w:type="dxa"/>
          </w:tcPr>
          <w:p>
            <w:pPr>
              <w:pStyle w:val="TableParagraph"/>
              <w:spacing w:line="219" w:lineRule="exact"/>
              <w:ind w:left="302"/>
              <w:rPr>
                <w:rFonts w:ascii="宋体" w:eastAsia="宋体" w:hint="eastAsia"/>
                <w:sz w:val="18"/>
              </w:rPr>
            </w:pPr>
            <w:r>
              <w:rPr>
                <w:sz w:val="18"/>
              </w:rPr>
              <w:t>849</w:t>
            </w:r>
            <w:r>
              <w:rPr>
                <w:rFonts w:ascii="宋体" w:eastAsia="宋体" w:hint="eastAsia"/>
                <w:sz w:val="18"/>
              </w:rPr>
              <w:t>（</w:t>
            </w:r>
            <w:r>
              <w:rPr>
                <w:sz w:val="18"/>
              </w:rPr>
              <w:t>726</w:t>
            </w:r>
            <w:r>
              <w:rPr>
                <w:rFonts w:ascii="宋体" w:eastAsia="宋体" w:hint="eastAsia"/>
                <w:sz w:val="18"/>
              </w:rPr>
              <w:t>～</w:t>
            </w:r>
            <w:r>
              <w:rPr>
                <w:sz w:val="18"/>
              </w:rPr>
              <w:t>972</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其他</w:t>
            </w:r>
          </w:p>
        </w:tc>
        <w:tc>
          <w:tcPr>
            <w:tcW w:w="1621" w:type="dxa"/>
          </w:tcPr>
          <w:p>
            <w:pPr>
              <w:pStyle w:val="TableParagraph"/>
              <w:spacing w:before="12"/>
              <w:ind w:left="956"/>
              <w:rPr>
                <w:sz w:val="18"/>
              </w:rPr>
            </w:pPr>
            <w:r>
              <w:rPr>
                <w:sz w:val="18"/>
              </w:rPr>
              <w:t>184</w:t>
            </w:r>
          </w:p>
        </w:tc>
        <w:tc>
          <w:tcPr>
            <w:tcW w:w="3149" w:type="dxa"/>
          </w:tcPr>
          <w:p>
            <w:pPr>
              <w:pStyle w:val="TableParagraph"/>
              <w:spacing w:line="219" w:lineRule="exact"/>
              <w:ind w:left="302"/>
              <w:rPr>
                <w:rFonts w:ascii="宋体" w:eastAsia="宋体" w:hint="eastAsia"/>
                <w:sz w:val="18"/>
              </w:rPr>
            </w:pPr>
            <w:r>
              <w:rPr>
                <w:sz w:val="18"/>
              </w:rPr>
              <w:t>564</w:t>
            </w:r>
            <w:r>
              <w:rPr>
                <w:rFonts w:ascii="宋体" w:eastAsia="宋体" w:hint="eastAsia"/>
                <w:sz w:val="18"/>
              </w:rPr>
              <w:t>（</w:t>
            </w:r>
            <w:r>
              <w:rPr>
                <w:sz w:val="18"/>
              </w:rPr>
              <w:t>368</w:t>
            </w:r>
            <w:r>
              <w:rPr>
                <w:rFonts w:ascii="宋体" w:eastAsia="宋体" w:hint="eastAsia"/>
                <w:sz w:val="18"/>
              </w:rPr>
              <w:t>～</w:t>
            </w:r>
            <w:r>
              <w:rPr>
                <w:sz w:val="18"/>
              </w:rPr>
              <w:t>760</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before="12"/>
              <w:ind w:left="108"/>
              <w:rPr>
                <w:sz w:val="18"/>
              </w:rPr>
            </w:pPr>
            <w:r>
              <w:rPr>
                <w:sz w:val="18"/>
              </w:rPr>
              <w:t>BMI</w:t>
            </w:r>
          </w:p>
        </w:tc>
        <w:tc>
          <w:tcPr>
            <w:tcW w:w="1862" w:type="dxa"/>
          </w:tcPr>
          <w:p>
            <w:pPr>
              <w:pStyle w:val="TableParagraph"/>
              <w:spacing w:before="12"/>
              <w:ind w:left="230"/>
              <w:rPr>
                <w:sz w:val="18"/>
              </w:rPr>
            </w:pPr>
            <w:r>
              <w:rPr>
                <w:sz w:val="18"/>
              </w:rPr>
              <w:t>&lt;18.5</w:t>
            </w:r>
          </w:p>
        </w:tc>
        <w:tc>
          <w:tcPr>
            <w:tcW w:w="1621" w:type="dxa"/>
          </w:tcPr>
          <w:p>
            <w:pPr>
              <w:pStyle w:val="TableParagraph"/>
              <w:spacing w:before="12"/>
              <w:ind w:left="956"/>
              <w:rPr>
                <w:sz w:val="18"/>
              </w:rPr>
            </w:pPr>
            <w:r>
              <w:rPr>
                <w:sz w:val="18"/>
              </w:rPr>
              <w:t>950</w:t>
            </w:r>
          </w:p>
        </w:tc>
        <w:tc>
          <w:tcPr>
            <w:tcW w:w="3149" w:type="dxa"/>
          </w:tcPr>
          <w:p>
            <w:pPr>
              <w:pStyle w:val="TableParagraph"/>
              <w:spacing w:line="219" w:lineRule="exact"/>
              <w:ind w:left="302"/>
              <w:rPr>
                <w:sz w:val="18"/>
              </w:rPr>
            </w:pPr>
            <w:r>
              <w:rPr>
                <w:sz w:val="18"/>
              </w:rPr>
              <w:t>832(737</w:t>
            </w:r>
            <w:r>
              <w:rPr>
                <w:rFonts w:ascii="宋体" w:eastAsia="宋体" w:hint="eastAsia"/>
                <w:sz w:val="18"/>
              </w:rPr>
              <w:t>～</w:t>
            </w:r>
            <w:r>
              <w:rPr>
                <w:sz w:val="18"/>
              </w:rPr>
              <w:t>927)</w:t>
            </w:r>
          </w:p>
        </w:tc>
        <w:tc>
          <w:tcPr>
            <w:tcW w:w="1305" w:type="dxa"/>
          </w:tcPr>
          <w:p>
            <w:pPr>
              <w:pStyle w:val="TableParagraph"/>
              <w:spacing w:before="12"/>
              <w:ind w:left="63"/>
              <w:rPr>
                <w:sz w:val="18"/>
              </w:rPr>
            </w:pPr>
            <w:r>
              <w:rPr>
                <w:sz w:val="18"/>
              </w:rPr>
              <w:t>P&gt;0.05</w:t>
            </w:r>
          </w:p>
        </w:tc>
      </w:tr>
      <w:tr>
        <w:trPr>
          <w:trHeight w:val="240" w:hRule="atLeast"/>
        </w:trPr>
        <w:tc>
          <w:tcPr>
            <w:tcW w:w="1779" w:type="dxa"/>
          </w:tcPr>
          <w:p>
            <w:pPr>
              <w:pStyle w:val="TableParagraph"/>
              <w:rPr>
                <w:sz w:val="16"/>
              </w:rPr>
            </w:pPr>
          </w:p>
        </w:tc>
        <w:tc>
          <w:tcPr>
            <w:tcW w:w="1862" w:type="dxa"/>
          </w:tcPr>
          <w:p>
            <w:pPr>
              <w:pStyle w:val="TableParagraph"/>
              <w:spacing w:line="220" w:lineRule="exact"/>
              <w:ind w:left="230"/>
              <w:rPr>
                <w:sz w:val="18"/>
              </w:rPr>
            </w:pPr>
            <w:r>
              <w:rPr>
                <w:sz w:val="18"/>
              </w:rPr>
              <w:t>18.5</w:t>
            </w:r>
            <w:r>
              <w:rPr>
                <w:rFonts w:ascii="宋体" w:eastAsia="宋体" w:hint="eastAsia"/>
                <w:sz w:val="18"/>
              </w:rPr>
              <w:t>～</w:t>
            </w:r>
            <w:r>
              <w:rPr>
                <w:sz w:val="18"/>
              </w:rPr>
              <w:t>25</w:t>
            </w:r>
          </w:p>
        </w:tc>
        <w:tc>
          <w:tcPr>
            <w:tcW w:w="1621" w:type="dxa"/>
          </w:tcPr>
          <w:p>
            <w:pPr>
              <w:pStyle w:val="TableParagraph"/>
              <w:spacing w:before="12"/>
              <w:ind w:left="956"/>
              <w:rPr>
                <w:sz w:val="18"/>
              </w:rPr>
            </w:pPr>
            <w:r>
              <w:rPr>
                <w:sz w:val="18"/>
              </w:rPr>
              <w:t>328</w:t>
            </w:r>
          </w:p>
        </w:tc>
        <w:tc>
          <w:tcPr>
            <w:tcW w:w="3149" w:type="dxa"/>
          </w:tcPr>
          <w:p>
            <w:pPr>
              <w:pStyle w:val="TableParagraph"/>
              <w:spacing w:line="220" w:lineRule="exact"/>
              <w:ind w:left="302"/>
              <w:rPr>
                <w:sz w:val="18"/>
              </w:rPr>
            </w:pPr>
            <w:r>
              <w:rPr>
                <w:sz w:val="18"/>
              </w:rPr>
              <w:t>1048(901</w:t>
            </w:r>
            <w:r>
              <w:rPr>
                <w:rFonts w:ascii="宋体" w:eastAsia="宋体" w:hint="eastAsia"/>
                <w:sz w:val="18"/>
              </w:rPr>
              <w:t>～</w:t>
            </w:r>
            <w:r>
              <w:rPr>
                <w:sz w:val="18"/>
              </w:rPr>
              <w:t>1195)</w:t>
            </w:r>
          </w:p>
        </w:tc>
        <w:tc>
          <w:tcPr>
            <w:tcW w:w="1305" w:type="dxa"/>
          </w:tcPr>
          <w:p>
            <w:pPr>
              <w:pStyle w:val="TableParagraph"/>
              <w:rPr>
                <w:sz w:val="16"/>
              </w:rPr>
            </w:pPr>
          </w:p>
        </w:tc>
      </w:tr>
      <w:tr>
        <w:trPr>
          <w:trHeight w:val="240" w:hRule="atLeast"/>
        </w:trPr>
        <w:tc>
          <w:tcPr>
            <w:tcW w:w="1779" w:type="dxa"/>
          </w:tcPr>
          <w:p>
            <w:pPr>
              <w:pStyle w:val="TableParagraph"/>
              <w:rPr>
                <w:sz w:val="16"/>
              </w:rPr>
            </w:pPr>
          </w:p>
        </w:tc>
        <w:tc>
          <w:tcPr>
            <w:tcW w:w="1862" w:type="dxa"/>
          </w:tcPr>
          <w:p>
            <w:pPr>
              <w:pStyle w:val="TableParagraph"/>
              <w:spacing w:before="13"/>
              <w:ind w:left="230"/>
              <w:rPr>
                <w:sz w:val="18"/>
              </w:rPr>
            </w:pPr>
            <w:r>
              <w:rPr>
                <w:sz w:val="18"/>
              </w:rPr>
              <w:t>&gt;25</w:t>
            </w:r>
          </w:p>
        </w:tc>
        <w:tc>
          <w:tcPr>
            <w:tcW w:w="1621" w:type="dxa"/>
          </w:tcPr>
          <w:p>
            <w:pPr>
              <w:pStyle w:val="TableParagraph"/>
              <w:spacing w:before="13"/>
              <w:ind w:left="956"/>
              <w:rPr>
                <w:sz w:val="18"/>
              </w:rPr>
            </w:pPr>
            <w:r>
              <w:rPr>
                <w:sz w:val="18"/>
              </w:rPr>
              <w:t>129</w:t>
            </w:r>
          </w:p>
        </w:tc>
        <w:tc>
          <w:tcPr>
            <w:tcW w:w="3149" w:type="dxa"/>
          </w:tcPr>
          <w:p>
            <w:pPr>
              <w:pStyle w:val="TableParagraph"/>
              <w:spacing w:line="219" w:lineRule="exact" w:before="1"/>
              <w:ind w:left="302"/>
              <w:rPr>
                <w:sz w:val="18"/>
              </w:rPr>
            </w:pPr>
            <w:r>
              <w:rPr>
                <w:sz w:val="18"/>
              </w:rPr>
              <w:t>1260(879</w:t>
            </w:r>
            <w:r>
              <w:rPr>
                <w:rFonts w:ascii="宋体" w:eastAsia="宋体" w:hint="eastAsia"/>
                <w:sz w:val="18"/>
              </w:rPr>
              <w:t>～</w:t>
            </w:r>
            <w:r>
              <w:rPr>
                <w:sz w:val="18"/>
              </w:rPr>
              <w:t>1641)</w:t>
            </w:r>
          </w:p>
        </w:tc>
        <w:tc>
          <w:tcPr>
            <w:tcW w:w="1305" w:type="dxa"/>
          </w:tcPr>
          <w:p>
            <w:pPr>
              <w:pStyle w:val="TableParagraph"/>
              <w:rPr>
                <w:sz w:val="16"/>
              </w:rPr>
            </w:pP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缺失</w:t>
            </w:r>
          </w:p>
        </w:tc>
        <w:tc>
          <w:tcPr>
            <w:tcW w:w="1621" w:type="dxa"/>
          </w:tcPr>
          <w:p>
            <w:pPr>
              <w:pStyle w:val="TableParagraph"/>
              <w:spacing w:before="12"/>
              <w:ind w:left="956"/>
              <w:rPr>
                <w:sz w:val="18"/>
              </w:rPr>
            </w:pPr>
            <w:r>
              <w:rPr>
                <w:sz w:val="18"/>
              </w:rPr>
              <w:t>58</w:t>
            </w:r>
          </w:p>
        </w:tc>
        <w:tc>
          <w:tcPr>
            <w:tcW w:w="3149" w:type="dxa"/>
          </w:tcPr>
          <w:p>
            <w:pPr>
              <w:pStyle w:val="TableParagraph"/>
              <w:rPr>
                <w:sz w:val="16"/>
              </w:rPr>
            </w:pP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首次住院</w:t>
            </w:r>
            <w:r>
              <w:rPr>
                <w:sz w:val="18"/>
              </w:rPr>
              <w:t>KPS</w:t>
            </w:r>
            <w:r>
              <w:rPr>
                <w:rFonts w:ascii="宋体" w:eastAsia="宋体" w:hint="eastAsia"/>
                <w:sz w:val="18"/>
              </w:rPr>
              <w:t>评分</w:t>
            </w:r>
          </w:p>
        </w:tc>
        <w:tc>
          <w:tcPr>
            <w:tcW w:w="1862" w:type="dxa"/>
          </w:tcPr>
          <w:p>
            <w:pPr>
              <w:pStyle w:val="TableParagraph"/>
              <w:spacing w:before="12"/>
              <w:ind w:left="230"/>
              <w:rPr>
                <w:sz w:val="18"/>
              </w:rPr>
            </w:pPr>
            <w:r>
              <w:rPr>
                <w:sz w:val="18"/>
              </w:rPr>
              <w:t>&gt;80</w:t>
            </w:r>
          </w:p>
        </w:tc>
        <w:tc>
          <w:tcPr>
            <w:tcW w:w="1621" w:type="dxa"/>
          </w:tcPr>
          <w:p>
            <w:pPr>
              <w:pStyle w:val="TableParagraph"/>
              <w:spacing w:before="12"/>
              <w:ind w:left="956"/>
              <w:rPr>
                <w:sz w:val="18"/>
              </w:rPr>
            </w:pPr>
            <w:r>
              <w:rPr>
                <w:sz w:val="18"/>
              </w:rPr>
              <w:t>671</w:t>
            </w:r>
          </w:p>
        </w:tc>
        <w:tc>
          <w:tcPr>
            <w:tcW w:w="3149" w:type="dxa"/>
          </w:tcPr>
          <w:p>
            <w:pPr>
              <w:pStyle w:val="TableParagraph"/>
              <w:spacing w:line="219" w:lineRule="exact"/>
              <w:ind w:left="302"/>
              <w:rPr>
                <w:rFonts w:ascii="宋体" w:eastAsia="宋体" w:hint="eastAsia"/>
                <w:sz w:val="18"/>
              </w:rPr>
            </w:pPr>
            <w:r>
              <w:rPr>
                <w:sz w:val="18"/>
              </w:rPr>
              <w:t>1171</w:t>
            </w:r>
            <w:r>
              <w:rPr>
                <w:rFonts w:ascii="宋体" w:eastAsia="宋体" w:hint="eastAsia"/>
                <w:sz w:val="18"/>
              </w:rPr>
              <w:t>（</w:t>
            </w:r>
            <w:r>
              <w:rPr>
                <w:sz w:val="18"/>
              </w:rPr>
              <w:t>1016</w:t>
            </w:r>
            <w:r>
              <w:rPr>
                <w:rFonts w:ascii="宋体" w:eastAsia="宋体" w:hint="eastAsia"/>
                <w:sz w:val="18"/>
              </w:rPr>
              <w:t>～</w:t>
            </w:r>
            <w:r>
              <w:rPr>
                <w:sz w:val="18"/>
              </w:rPr>
              <w:t>1326</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sz w:val="18"/>
              </w:rPr>
            </w:pPr>
            <w:r>
              <w:rPr>
                <w:rFonts w:ascii="宋体" w:hAnsi="宋体"/>
                <w:sz w:val="18"/>
              </w:rPr>
              <w:t>≤</w:t>
            </w:r>
            <w:r>
              <w:rPr>
                <w:sz w:val="18"/>
              </w:rPr>
              <w:t>80</w:t>
            </w:r>
          </w:p>
        </w:tc>
        <w:tc>
          <w:tcPr>
            <w:tcW w:w="1621" w:type="dxa"/>
          </w:tcPr>
          <w:p>
            <w:pPr>
              <w:pStyle w:val="TableParagraph"/>
              <w:spacing w:before="12"/>
              <w:ind w:left="956"/>
              <w:rPr>
                <w:sz w:val="18"/>
              </w:rPr>
            </w:pPr>
            <w:r>
              <w:rPr>
                <w:sz w:val="18"/>
              </w:rPr>
              <w:t>626</w:t>
            </w:r>
          </w:p>
        </w:tc>
        <w:tc>
          <w:tcPr>
            <w:tcW w:w="3149" w:type="dxa"/>
          </w:tcPr>
          <w:p>
            <w:pPr>
              <w:pStyle w:val="TableParagraph"/>
              <w:spacing w:line="219" w:lineRule="exact"/>
              <w:ind w:left="302"/>
              <w:rPr>
                <w:sz w:val="18"/>
              </w:rPr>
            </w:pPr>
            <w:r>
              <w:rPr>
                <w:sz w:val="18"/>
              </w:rPr>
              <w:t>707(635</w:t>
            </w:r>
            <w:r>
              <w:rPr>
                <w:rFonts w:ascii="宋体" w:eastAsia="宋体" w:hint="eastAsia"/>
                <w:sz w:val="18"/>
              </w:rPr>
              <w:t>～</w:t>
            </w:r>
            <w:r>
              <w:rPr>
                <w:sz w:val="18"/>
              </w:rPr>
              <w:t>779)</w:t>
            </w:r>
          </w:p>
        </w:tc>
        <w:tc>
          <w:tcPr>
            <w:tcW w:w="1305" w:type="dxa"/>
          </w:tcPr>
          <w:p>
            <w:pPr>
              <w:pStyle w:val="TableParagraph"/>
              <w:rPr>
                <w:sz w:val="16"/>
              </w:rPr>
            </w:pPr>
          </w:p>
        </w:tc>
      </w:tr>
      <w:tr>
        <w:trPr>
          <w:trHeight w:val="239"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缺失</w:t>
            </w:r>
          </w:p>
        </w:tc>
        <w:tc>
          <w:tcPr>
            <w:tcW w:w="1621" w:type="dxa"/>
          </w:tcPr>
          <w:p>
            <w:pPr>
              <w:pStyle w:val="TableParagraph"/>
              <w:spacing w:before="12"/>
              <w:ind w:left="956"/>
              <w:rPr>
                <w:sz w:val="18"/>
              </w:rPr>
            </w:pPr>
            <w:r>
              <w:rPr>
                <w:sz w:val="18"/>
              </w:rPr>
              <w:t>157</w:t>
            </w:r>
          </w:p>
        </w:tc>
        <w:tc>
          <w:tcPr>
            <w:tcW w:w="3149" w:type="dxa"/>
          </w:tcPr>
          <w:p>
            <w:pPr>
              <w:pStyle w:val="TableParagraph"/>
              <w:rPr>
                <w:sz w:val="16"/>
              </w:rPr>
            </w:pP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吸烟史</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703</w:t>
            </w:r>
          </w:p>
        </w:tc>
        <w:tc>
          <w:tcPr>
            <w:tcW w:w="3149" w:type="dxa"/>
          </w:tcPr>
          <w:p>
            <w:pPr>
              <w:pStyle w:val="TableParagraph"/>
              <w:spacing w:line="219" w:lineRule="exact"/>
              <w:ind w:left="302"/>
              <w:rPr>
                <w:rFonts w:ascii="宋体" w:eastAsia="宋体" w:hint="eastAsia"/>
                <w:sz w:val="18"/>
              </w:rPr>
            </w:pPr>
            <w:r>
              <w:rPr>
                <w:sz w:val="18"/>
              </w:rPr>
              <w:t>838</w:t>
            </w:r>
            <w:r>
              <w:rPr>
                <w:rFonts w:ascii="宋体" w:eastAsia="宋体" w:hint="eastAsia"/>
                <w:sz w:val="18"/>
              </w:rPr>
              <w:t>（</w:t>
            </w:r>
            <w:r>
              <w:rPr>
                <w:sz w:val="18"/>
              </w:rPr>
              <w:t>746</w:t>
            </w:r>
            <w:r>
              <w:rPr>
                <w:rFonts w:ascii="宋体" w:eastAsia="宋体" w:hint="eastAsia"/>
                <w:sz w:val="18"/>
              </w:rPr>
              <w:t>～</w:t>
            </w:r>
            <w:r>
              <w:rPr>
                <w:sz w:val="18"/>
              </w:rPr>
              <w:t>930</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762</w:t>
            </w:r>
          </w:p>
        </w:tc>
        <w:tc>
          <w:tcPr>
            <w:tcW w:w="3149" w:type="dxa"/>
          </w:tcPr>
          <w:p>
            <w:pPr>
              <w:pStyle w:val="TableParagraph"/>
              <w:spacing w:line="219" w:lineRule="exact"/>
              <w:ind w:left="302"/>
              <w:rPr>
                <w:rFonts w:ascii="宋体" w:eastAsia="宋体" w:hint="eastAsia"/>
                <w:sz w:val="18"/>
              </w:rPr>
            </w:pPr>
            <w:r>
              <w:rPr>
                <w:sz w:val="18"/>
              </w:rPr>
              <w:t>1028</w:t>
            </w:r>
            <w:r>
              <w:rPr>
                <w:rFonts w:ascii="宋体" w:eastAsia="宋体" w:hint="eastAsia"/>
                <w:sz w:val="18"/>
              </w:rPr>
              <w:t>（</w:t>
            </w:r>
            <w:r>
              <w:rPr>
                <w:sz w:val="18"/>
              </w:rPr>
              <w:t>889</w:t>
            </w:r>
            <w:r>
              <w:rPr>
                <w:rFonts w:ascii="宋体" w:eastAsia="宋体" w:hint="eastAsia"/>
                <w:sz w:val="18"/>
              </w:rPr>
              <w:t>～</w:t>
            </w:r>
            <w:r>
              <w:rPr>
                <w:sz w:val="18"/>
              </w:rPr>
              <w:t>1167</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饮酒史</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401</w:t>
            </w:r>
          </w:p>
        </w:tc>
        <w:tc>
          <w:tcPr>
            <w:tcW w:w="3149" w:type="dxa"/>
          </w:tcPr>
          <w:p>
            <w:pPr>
              <w:pStyle w:val="TableParagraph"/>
              <w:spacing w:line="219" w:lineRule="exact"/>
              <w:ind w:left="302"/>
              <w:rPr>
                <w:sz w:val="18"/>
              </w:rPr>
            </w:pPr>
            <w:r>
              <w:rPr>
                <w:sz w:val="18"/>
              </w:rPr>
              <w:t>701(609</w:t>
            </w:r>
            <w:r>
              <w:rPr>
                <w:rFonts w:ascii="宋体" w:eastAsia="宋体" w:hint="eastAsia"/>
                <w:sz w:val="18"/>
              </w:rPr>
              <w:t>～</w:t>
            </w:r>
            <w:r>
              <w:rPr>
                <w:sz w:val="18"/>
              </w:rPr>
              <w:t>793)</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1064</w:t>
            </w:r>
          </w:p>
        </w:tc>
        <w:tc>
          <w:tcPr>
            <w:tcW w:w="3149" w:type="dxa"/>
          </w:tcPr>
          <w:p>
            <w:pPr>
              <w:pStyle w:val="TableParagraph"/>
              <w:spacing w:line="219" w:lineRule="exact"/>
              <w:ind w:left="302"/>
              <w:rPr>
                <w:sz w:val="18"/>
              </w:rPr>
            </w:pPr>
            <w:r>
              <w:rPr>
                <w:sz w:val="18"/>
              </w:rPr>
              <w:t>1045(931</w:t>
            </w:r>
            <w:r>
              <w:rPr>
                <w:rFonts w:ascii="宋体" w:eastAsia="宋体" w:hint="eastAsia"/>
                <w:sz w:val="18"/>
              </w:rPr>
              <w:t>～</w:t>
            </w:r>
            <w:r>
              <w:rPr>
                <w:sz w:val="18"/>
              </w:rPr>
              <w:t>1159)</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靶向药物使用</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1074</w:t>
            </w:r>
          </w:p>
        </w:tc>
        <w:tc>
          <w:tcPr>
            <w:tcW w:w="3149" w:type="dxa"/>
          </w:tcPr>
          <w:p>
            <w:pPr>
              <w:pStyle w:val="TableParagraph"/>
              <w:spacing w:line="219" w:lineRule="exact"/>
              <w:ind w:left="302"/>
              <w:rPr>
                <w:rFonts w:ascii="宋体" w:eastAsia="宋体" w:hint="eastAsia"/>
                <w:sz w:val="18"/>
              </w:rPr>
            </w:pPr>
            <w:r>
              <w:rPr>
                <w:sz w:val="18"/>
              </w:rPr>
              <w:t>883</w:t>
            </w:r>
            <w:r>
              <w:rPr>
                <w:rFonts w:ascii="宋体" w:eastAsia="宋体" w:hint="eastAsia"/>
                <w:sz w:val="18"/>
              </w:rPr>
              <w:t>（</w:t>
            </w:r>
            <w:r>
              <w:rPr>
                <w:sz w:val="18"/>
              </w:rPr>
              <w:t>758</w:t>
            </w:r>
            <w:r>
              <w:rPr>
                <w:rFonts w:ascii="宋体" w:eastAsia="宋体" w:hint="eastAsia"/>
                <w:sz w:val="18"/>
              </w:rPr>
              <w:t>～</w:t>
            </w:r>
            <w:r>
              <w:rPr>
                <w:sz w:val="18"/>
              </w:rPr>
              <w:t>1008</w:t>
            </w:r>
            <w:r>
              <w:rPr>
                <w:rFonts w:ascii="宋体" w:eastAsia="宋体" w:hint="eastAsia"/>
                <w:sz w:val="18"/>
              </w:rPr>
              <w:t>）</w:t>
            </w:r>
          </w:p>
        </w:tc>
        <w:tc>
          <w:tcPr>
            <w:tcW w:w="1305" w:type="dxa"/>
          </w:tcPr>
          <w:p>
            <w:pPr>
              <w:pStyle w:val="TableParagraph"/>
              <w:spacing w:before="12"/>
              <w:ind w:left="63"/>
              <w:rPr>
                <w:sz w:val="18"/>
              </w:rPr>
            </w:pPr>
            <w:r>
              <w:rPr>
                <w:sz w:val="18"/>
              </w:rPr>
              <w:t>P&gt;0.05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391</w:t>
            </w:r>
          </w:p>
        </w:tc>
        <w:tc>
          <w:tcPr>
            <w:tcW w:w="3149" w:type="dxa"/>
          </w:tcPr>
          <w:p>
            <w:pPr>
              <w:pStyle w:val="TableParagraph"/>
              <w:spacing w:line="219" w:lineRule="exact"/>
              <w:ind w:left="302"/>
              <w:rPr>
                <w:rFonts w:ascii="宋体" w:eastAsia="宋体" w:hint="eastAsia"/>
                <w:sz w:val="18"/>
              </w:rPr>
            </w:pPr>
            <w:r>
              <w:rPr>
                <w:sz w:val="18"/>
              </w:rPr>
              <w:t>949</w:t>
            </w:r>
            <w:r>
              <w:rPr>
                <w:rFonts w:ascii="宋体" w:eastAsia="宋体" w:hint="eastAsia"/>
                <w:sz w:val="18"/>
              </w:rPr>
              <w:t>（</w:t>
            </w:r>
            <w:r>
              <w:rPr>
                <w:sz w:val="18"/>
              </w:rPr>
              <w:t>844</w:t>
            </w:r>
            <w:r>
              <w:rPr>
                <w:rFonts w:ascii="宋体" w:eastAsia="宋体" w:hint="eastAsia"/>
                <w:sz w:val="18"/>
              </w:rPr>
              <w:t>～</w:t>
            </w:r>
            <w:r>
              <w:rPr>
                <w:sz w:val="18"/>
              </w:rPr>
              <w:t>1054</w:t>
            </w:r>
            <w:r>
              <w:rPr>
                <w:rFonts w:ascii="宋体" w:eastAsia="宋体" w:hint="eastAsia"/>
                <w:sz w:val="18"/>
              </w:rPr>
              <w:t>）</w:t>
            </w:r>
          </w:p>
        </w:tc>
        <w:tc>
          <w:tcPr>
            <w:tcW w:w="1305" w:type="dxa"/>
          </w:tcPr>
          <w:p>
            <w:pPr>
              <w:pStyle w:val="TableParagraph"/>
              <w:rPr>
                <w:sz w:val="16"/>
              </w:rPr>
            </w:pPr>
          </w:p>
        </w:tc>
      </w:tr>
      <w:tr>
        <w:trPr>
          <w:trHeight w:val="245" w:hRule="atLeast"/>
        </w:trPr>
        <w:tc>
          <w:tcPr>
            <w:tcW w:w="1779" w:type="dxa"/>
          </w:tcPr>
          <w:p>
            <w:pPr>
              <w:pStyle w:val="TableParagraph"/>
              <w:spacing w:line="225" w:lineRule="exact"/>
              <w:ind w:left="108"/>
              <w:rPr>
                <w:rFonts w:ascii="宋体" w:eastAsia="宋体" w:hint="eastAsia"/>
                <w:sz w:val="18"/>
              </w:rPr>
            </w:pPr>
            <w:r>
              <w:rPr>
                <w:rFonts w:ascii="宋体" w:eastAsia="宋体" w:hint="eastAsia"/>
                <w:sz w:val="18"/>
              </w:rPr>
              <w:t>是否发生骨髓抑制</w:t>
            </w:r>
          </w:p>
        </w:tc>
        <w:tc>
          <w:tcPr>
            <w:tcW w:w="1862" w:type="dxa"/>
          </w:tcPr>
          <w:p>
            <w:pPr>
              <w:pStyle w:val="TableParagraph"/>
              <w:spacing w:line="225"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378</w:t>
            </w:r>
          </w:p>
        </w:tc>
        <w:tc>
          <w:tcPr>
            <w:tcW w:w="3149" w:type="dxa"/>
          </w:tcPr>
          <w:p>
            <w:pPr>
              <w:pStyle w:val="TableParagraph"/>
              <w:spacing w:line="225" w:lineRule="exact"/>
              <w:ind w:left="302"/>
              <w:rPr>
                <w:rFonts w:ascii="宋体" w:eastAsia="宋体" w:hint="eastAsia"/>
                <w:sz w:val="18"/>
              </w:rPr>
            </w:pPr>
            <w:r>
              <w:rPr>
                <w:sz w:val="18"/>
              </w:rPr>
              <w:t>1003</w:t>
            </w:r>
            <w:r>
              <w:rPr>
                <w:rFonts w:ascii="宋体" w:eastAsia="宋体" w:hint="eastAsia"/>
                <w:sz w:val="18"/>
              </w:rPr>
              <w:t>（</w:t>
            </w:r>
            <w:r>
              <w:rPr>
                <w:sz w:val="18"/>
              </w:rPr>
              <w:t>701-1304</w:t>
            </w:r>
            <w:r>
              <w:rPr>
                <w:rFonts w:ascii="宋体" w:eastAsia="宋体" w:hint="eastAsia"/>
                <w:sz w:val="18"/>
              </w:rPr>
              <w:t>）</w:t>
            </w:r>
          </w:p>
        </w:tc>
        <w:tc>
          <w:tcPr>
            <w:tcW w:w="1305" w:type="dxa"/>
          </w:tcPr>
          <w:p>
            <w:pPr>
              <w:pStyle w:val="TableParagraph"/>
              <w:spacing w:before="12"/>
              <w:ind w:left="63"/>
              <w:rPr>
                <w:sz w:val="18"/>
              </w:rPr>
            </w:pPr>
            <w:r>
              <w:rPr>
                <w:sz w:val="18"/>
              </w:rPr>
              <w:t>P&gt;0.05</w:t>
            </w:r>
          </w:p>
        </w:tc>
      </w:tr>
      <w:tr>
        <w:trPr>
          <w:trHeight w:val="246" w:hRule="atLeast"/>
        </w:trPr>
        <w:tc>
          <w:tcPr>
            <w:tcW w:w="1779" w:type="dxa"/>
          </w:tcPr>
          <w:p>
            <w:pPr>
              <w:pStyle w:val="TableParagraph"/>
              <w:rPr>
                <w:sz w:val="16"/>
              </w:rPr>
            </w:pPr>
          </w:p>
        </w:tc>
        <w:tc>
          <w:tcPr>
            <w:tcW w:w="1862" w:type="dxa"/>
          </w:tcPr>
          <w:p>
            <w:pPr>
              <w:pStyle w:val="TableParagraph"/>
              <w:spacing w:line="219" w:lineRule="exact" w:before="6"/>
              <w:ind w:left="230"/>
              <w:rPr>
                <w:rFonts w:ascii="宋体" w:eastAsia="宋体" w:hint="eastAsia"/>
                <w:sz w:val="18"/>
              </w:rPr>
            </w:pPr>
            <w:r>
              <w:rPr>
                <w:rFonts w:ascii="宋体" w:eastAsia="宋体" w:hint="eastAsia"/>
                <w:sz w:val="18"/>
              </w:rPr>
              <w:t>是</w:t>
            </w:r>
          </w:p>
        </w:tc>
        <w:tc>
          <w:tcPr>
            <w:tcW w:w="1621" w:type="dxa"/>
          </w:tcPr>
          <w:p>
            <w:pPr>
              <w:pStyle w:val="TableParagraph"/>
              <w:spacing w:before="18"/>
              <w:ind w:left="956"/>
              <w:rPr>
                <w:sz w:val="18"/>
              </w:rPr>
            </w:pPr>
            <w:r>
              <w:rPr>
                <w:sz w:val="18"/>
              </w:rPr>
              <w:t>1077</w:t>
            </w:r>
          </w:p>
        </w:tc>
        <w:tc>
          <w:tcPr>
            <w:tcW w:w="3149" w:type="dxa"/>
          </w:tcPr>
          <w:p>
            <w:pPr>
              <w:pStyle w:val="TableParagraph"/>
              <w:spacing w:line="219" w:lineRule="exact" w:before="6"/>
              <w:ind w:left="302"/>
              <w:rPr>
                <w:rFonts w:ascii="宋体" w:eastAsia="宋体" w:hint="eastAsia"/>
                <w:sz w:val="18"/>
              </w:rPr>
            </w:pPr>
            <w:r>
              <w:rPr>
                <w:sz w:val="18"/>
              </w:rPr>
              <w:t>887</w:t>
            </w:r>
            <w:r>
              <w:rPr>
                <w:rFonts w:ascii="宋体" w:eastAsia="宋体" w:hint="eastAsia"/>
                <w:sz w:val="18"/>
              </w:rPr>
              <w:t>（</w:t>
            </w:r>
            <w:r>
              <w:rPr>
                <w:sz w:val="18"/>
              </w:rPr>
              <w:t>797-977</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before="1"/>
              <w:ind w:left="108"/>
              <w:rPr>
                <w:rFonts w:ascii="宋体" w:eastAsia="宋体" w:hint="eastAsia"/>
                <w:sz w:val="18"/>
              </w:rPr>
            </w:pPr>
            <w:r>
              <w:rPr>
                <w:rFonts w:ascii="宋体" w:eastAsia="宋体" w:hint="eastAsia"/>
                <w:sz w:val="18"/>
              </w:rPr>
              <w:t>是否骨转移</w:t>
            </w:r>
          </w:p>
        </w:tc>
        <w:tc>
          <w:tcPr>
            <w:tcW w:w="1862" w:type="dxa"/>
          </w:tcPr>
          <w:p>
            <w:pPr>
              <w:pStyle w:val="TableParagraph"/>
              <w:spacing w:line="219" w:lineRule="exact" w:before="1"/>
              <w:ind w:left="230"/>
              <w:rPr>
                <w:rFonts w:ascii="宋体" w:eastAsia="宋体" w:hint="eastAsia"/>
                <w:sz w:val="18"/>
              </w:rPr>
            </w:pPr>
            <w:r>
              <w:rPr>
                <w:rFonts w:ascii="宋体" w:eastAsia="宋体" w:hint="eastAsia"/>
                <w:sz w:val="18"/>
              </w:rPr>
              <w:t>否</w:t>
            </w:r>
          </w:p>
        </w:tc>
        <w:tc>
          <w:tcPr>
            <w:tcW w:w="1621" w:type="dxa"/>
          </w:tcPr>
          <w:p>
            <w:pPr>
              <w:pStyle w:val="TableParagraph"/>
              <w:spacing w:before="13"/>
              <w:ind w:left="956"/>
              <w:rPr>
                <w:sz w:val="18"/>
              </w:rPr>
            </w:pPr>
            <w:r>
              <w:rPr>
                <w:sz w:val="18"/>
              </w:rPr>
              <w:t>1200</w:t>
            </w:r>
          </w:p>
        </w:tc>
        <w:tc>
          <w:tcPr>
            <w:tcW w:w="3149" w:type="dxa"/>
          </w:tcPr>
          <w:p>
            <w:pPr>
              <w:pStyle w:val="TableParagraph"/>
              <w:spacing w:line="219" w:lineRule="exact" w:before="1"/>
              <w:ind w:left="302"/>
              <w:rPr>
                <w:rFonts w:ascii="宋体" w:eastAsia="宋体" w:hint="eastAsia"/>
                <w:sz w:val="18"/>
              </w:rPr>
            </w:pPr>
            <w:r>
              <w:rPr>
                <w:sz w:val="18"/>
              </w:rPr>
              <w:t>951</w:t>
            </w:r>
            <w:r>
              <w:rPr>
                <w:rFonts w:ascii="宋体" w:eastAsia="宋体" w:hint="eastAsia"/>
                <w:sz w:val="18"/>
              </w:rPr>
              <w:t>（</w:t>
            </w:r>
            <w:r>
              <w:rPr>
                <w:sz w:val="18"/>
              </w:rPr>
              <w:t>839</w:t>
            </w:r>
            <w:r>
              <w:rPr>
                <w:rFonts w:ascii="宋体" w:eastAsia="宋体" w:hint="eastAsia"/>
                <w:sz w:val="18"/>
              </w:rPr>
              <w:t>～</w:t>
            </w:r>
            <w:r>
              <w:rPr>
                <w:sz w:val="18"/>
              </w:rPr>
              <w:t>1063</w:t>
            </w:r>
            <w:r>
              <w:rPr>
                <w:rFonts w:ascii="宋体" w:eastAsia="宋体" w:hint="eastAsia"/>
                <w:sz w:val="18"/>
              </w:rPr>
              <w:t>）</w:t>
            </w:r>
          </w:p>
        </w:tc>
        <w:tc>
          <w:tcPr>
            <w:tcW w:w="1305" w:type="dxa"/>
          </w:tcPr>
          <w:p>
            <w:pPr>
              <w:pStyle w:val="TableParagraph"/>
              <w:spacing w:before="13"/>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265</w:t>
            </w:r>
          </w:p>
        </w:tc>
        <w:tc>
          <w:tcPr>
            <w:tcW w:w="3149" w:type="dxa"/>
          </w:tcPr>
          <w:p>
            <w:pPr>
              <w:pStyle w:val="TableParagraph"/>
              <w:spacing w:line="219" w:lineRule="exact"/>
              <w:ind w:left="302"/>
              <w:rPr>
                <w:rFonts w:ascii="宋体" w:eastAsia="宋体" w:hint="eastAsia"/>
                <w:sz w:val="18"/>
              </w:rPr>
            </w:pPr>
            <w:r>
              <w:rPr>
                <w:sz w:val="18"/>
              </w:rPr>
              <w:t>675</w:t>
            </w:r>
            <w:r>
              <w:rPr>
                <w:rFonts w:ascii="宋体" w:eastAsia="宋体" w:hint="eastAsia"/>
                <w:sz w:val="18"/>
              </w:rPr>
              <w:t>（</w:t>
            </w:r>
            <w:r>
              <w:rPr>
                <w:sz w:val="18"/>
              </w:rPr>
              <w:t>513</w:t>
            </w:r>
            <w:r>
              <w:rPr>
                <w:rFonts w:ascii="宋体" w:eastAsia="宋体" w:hint="eastAsia"/>
                <w:sz w:val="18"/>
              </w:rPr>
              <w:t>～</w:t>
            </w:r>
            <w:r>
              <w:rPr>
                <w:sz w:val="18"/>
              </w:rPr>
              <w:t>837</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是否放疗</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1000</w:t>
            </w:r>
          </w:p>
        </w:tc>
        <w:tc>
          <w:tcPr>
            <w:tcW w:w="3149" w:type="dxa"/>
          </w:tcPr>
          <w:p>
            <w:pPr>
              <w:pStyle w:val="TableParagraph"/>
              <w:spacing w:line="219" w:lineRule="exact"/>
              <w:ind w:left="302"/>
              <w:rPr>
                <w:rFonts w:ascii="宋体" w:eastAsia="宋体" w:hint="eastAsia"/>
                <w:sz w:val="18"/>
              </w:rPr>
            </w:pPr>
            <w:r>
              <w:rPr>
                <w:sz w:val="18"/>
              </w:rPr>
              <w:t>861</w:t>
            </w:r>
            <w:r>
              <w:rPr>
                <w:rFonts w:ascii="宋体" w:eastAsia="宋体" w:hint="eastAsia"/>
                <w:sz w:val="18"/>
              </w:rPr>
              <w:t>（</w:t>
            </w:r>
            <w:r>
              <w:rPr>
                <w:sz w:val="18"/>
              </w:rPr>
              <w:t>765</w:t>
            </w:r>
            <w:r>
              <w:rPr>
                <w:rFonts w:ascii="宋体" w:eastAsia="宋体" w:hint="eastAsia"/>
                <w:sz w:val="18"/>
              </w:rPr>
              <w:t>～</w:t>
            </w:r>
            <w:r>
              <w:rPr>
                <w:sz w:val="18"/>
              </w:rPr>
              <w:t>959</w:t>
            </w:r>
            <w:r>
              <w:rPr>
                <w:rFonts w:ascii="宋体" w:eastAsia="宋体" w:hint="eastAsia"/>
                <w:sz w:val="18"/>
              </w:rPr>
              <w:t>）</w:t>
            </w:r>
          </w:p>
        </w:tc>
        <w:tc>
          <w:tcPr>
            <w:tcW w:w="1305" w:type="dxa"/>
          </w:tcPr>
          <w:p>
            <w:pPr>
              <w:pStyle w:val="TableParagraph"/>
              <w:spacing w:before="12"/>
              <w:ind w:left="63"/>
              <w:rPr>
                <w:sz w:val="18"/>
              </w:rPr>
            </w:pPr>
            <w:r>
              <w:rPr>
                <w:sz w:val="18"/>
              </w:rPr>
              <w:t>P&gt;0.05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465</w:t>
            </w:r>
          </w:p>
        </w:tc>
        <w:tc>
          <w:tcPr>
            <w:tcW w:w="3149" w:type="dxa"/>
          </w:tcPr>
          <w:p>
            <w:pPr>
              <w:pStyle w:val="TableParagraph"/>
              <w:spacing w:line="219" w:lineRule="exact"/>
              <w:ind w:left="302"/>
              <w:rPr>
                <w:rFonts w:ascii="宋体" w:eastAsia="宋体" w:hint="eastAsia"/>
                <w:sz w:val="18"/>
              </w:rPr>
            </w:pPr>
            <w:r>
              <w:rPr>
                <w:sz w:val="18"/>
              </w:rPr>
              <w:t>1061</w:t>
            </w:r>
            <w:r>
              <w:rPr>
                <w:rFonts w:ascii="宋体" w:eastAsia="宋体" w:hint="eastAsia"/>
                <w:sz w:val="18"/>
              </w:rPr>
              <w:t>（</w:t>
            </w:r>
            <w:r>
              <w:rPr>
                <w:sz w:val="18"/>
              </w:rPr>
              <w:t>858</w:t>
            </w:r>
            <w:r>
              <w:rPr>
                <w:rFonts w:ascii="宋体" w:eastAsia="宋体" w:hint="eastAsia"/>
                <w:sz w:val="18"/>
              </w:rPr>
              <w:t>～</w:t>
            </w:r>
            <w:r>
              <w:rPr>
                <w:sz w:val="18"/>
              </w:rPr>
              <w:t>1174</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line="219" w:lineRule="exact"/>
              <w:ind w:left="108"/>
              <w:rPr>
                <w:rFonts w:ascii="宋体" w:eastAsia="宋体" w:hint="eastAsia"/>
                <w:sz w:val="18"/>
              </w:rPr>
            </w:pPr>
            <w:r>
              <w:rPr>
                <w:rFonts w:ascii="宋体" w:eastAsia="宋体" w:hint="eastAsia"/>
                <w:sz w:val="18"/>
              </w:rPr>
              <w:t>是否手术</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否</w:t>
            </w:r>
          </w:p>
        </w:tc>
        <w:tc>
          <w:tcPr>
            <w:tcW w:w="1621" w:type="dxa"/>
          </w:tcPr>
          <w:p>
            <w:pPr>
              <w:pStyle w:val="TableParagraph"/>
              <w:spacing w:before="12"/>
              <w:ind w:left="956"/>
              <w:rPr>
                <w:sz w:val="18"/>
              </w:rPr>
            </w:pPr>
            <w:r>
              <w:rPr>
                <w:sz w:val="18"/>
              </w:rPr>
              <w:t>953</w:t>
            </w:r>
          </w:p>
        </w:tc>
        <w:tc>
          <w:tcPr>
            <w:tcW w:w="3149" w:type="dxa"/>
          </w:tcPr>
          <w:p>
            <w:pPr>
              <w:pStyle w:val="TableParagraph"/>
              <w:spacing w:line="219" w:lineRule="exact"/>
              <w:ind w:left="302"/>
              <w:rPr>
                <w:rFonts w:ascii="宋体" w:eastAsia="宋体" w:hint="eastAsia"/>
                <w:sz w:val="18"/>
              </w:rPr>
            </w:pPr>
            <w:r>
              <w:rPr>
                <w:sz w:val="18"/>
              </w:rPr>
              <w:t>692</w:t>
            </w:r>
            <w:r>
              <w:rPr>
                <w:rFonts w:ascii="宋体" w:eastAsia="宋体" w:hint="eastAsia"/>
                <w:sz w:val="18"/>
              </w:rPr>
              <w:t>（</w:t>
            </w:r>
            <w:r>
              <w:rPr>
                <w:sz w:val="18"/>
              </w:rPr>
              <w:t>627</w:t>
            </w:r>
            <w:r>
              <w:rPr>
                <w:rFonts w:ascii="宋体" w:eastAsia="宋体" w:hint="eastAsia"/>
                <w:sz w:val="18"/>
              </w:rPr>
              <w:t>～</w:t>
            </w:r>
            <w:r>
              <w:rPr>
                <w:sz w:val="18"/>
              </w:rPr>
              <w:t>757</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40" w:hRule="atLeast"/>
        </w:trPr>
        <w:tc>
          <w:tcPr>
            <w:tcW w:w="1779" w:type="dxa"/>
          </w:tcPr>
          <w:p>
            <w:pPr>
              <w:pStyle w:val="TableParagraph"/>
              <w:rPr>
                <w:sz w:val="16"/>
              </w:rPr>
            </w:pP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是</w:t>
            </w:r>
          </w:p>
        </w:tc>
        <w:tc>
          <w:tcPr>
            <w:tcW w:w="1621" w:type="dxa"/>
          </w:tcPr>
          <w:p>
            <w:pPr>
              <w:pStyle w:val="TableParagraph"/>
              <w:spacing w:before="12"/>
              <w:ind w:left="956"/>
              <w:rPr>
                <w:sz w:val="18"/>
              </w:rPr>
            </w:pPr>
            <w:r>
              <w:rPr>
                <w:sz w:val="18"/>
              </w:rPr>
              <w:t>512</w:t>
            </w:r>
          </w:p>
        </w:tc>
        <w:tc>
          <w:tcPr>
            <w:tcW w:w="3149" w:type="dxa"/>
          </w:tcPr>
          <w:p>
            <w:pPr>
              <w:pStyle w:val="TableParagraph"/>
              <w:spacing w:line="219" w:lineRule="exact"/>
              <w:ind w:left="302"/>
              <w:rPr>
                <w:rFonts w:ascii="宋体" w:eastAsia="宋体" w:hint="eastAsia"/>
                <w:sz w:val="18"/>
              </w:rPr>
            </w:pPr>
            <w:r>
              <w:rPr>
                <w:sz w:val="18"/>
              </w:rPr>
              <w:t>2024</w:t>
            </w:r>
            <w:r>
              <w:rPr>
                <w:rFonts w:ascii="宋体" w:eastAsia="宋体" w:hint="eastAsia"/>
                <w:sz w:val="18"/>
              </w:rPr>
              <w:t>（</w:t>
            </w:r>
            <w:r>
              <w:rPr>
                <w:sz w:val="18"/>
              </w:rPr>
              <w:t>1563</w:t>
            </w:r>
            <w:r>
              <w:rPr>
                <w:rFonts w:ascii="宋体" w:eastAsia="宋体" w:hint="eastAsia"/>
                <w:sz w:val="18"/>
              </w:rPr>
              <w:t>～</w:t>
            </w:r>
            <w:r>
              <w:rPr>
                <w:sz w:val="18"/>
              </w:rPr>
              <w:t>2485</w:t>
            </w:r>
            <w:r>
              <w:rPr>
                <w:rFonts w:ascii="宋体" w:eastAsia="宋体" w:hint="eastAsia"/>
                <w:sz w:val="18"/>
              </w:rPr>
              <w:t>）</w:t>
            </w:r>
          </w:p>
        </w:tc>
        <w:tc>
          <w:tcPr>
            <w:tcW w:w="1305" w:type="dxa"/>
          </w:tcPr>
          <w:p>
            <w:pPr>
              <w:pStyle w:val="TableParagraph"/>
              <w:rPr>
                <w:sz w:val="16"/>
              </w:rPr>
            </w:pPr>
          </w:p>
        </w:tc>
      </w:tr>
      <w:tr>
        <w:trPr>
          <w:trHeight w:val="240" w:hRule="atLeast"/>
        </w:trPr>
        <w:tc>
          <w:tcPr>
            <w:tcW w:w="1779" w:type="dxa"/>
          </w:tcPr>
          <w:p>
            <w:pPr>
              <w:pStyle w:val="TableParagraph"/>
              <w:spacing w:before="12"/>
              <w:ind w:left="108"/>
              <w:rPr>
                <w:sz w:val="18"/>
              </w:rPr>
            </w:pPr>
            <w:r>
              <w:rPr>
                <w:sz w:val="18"/>
              </w:rPr>
              <w:t>NSE</w:t>
            </w:r>
          </w:p>
        </w:tc>
        <w:tc>
          <w:tcPr>
            <w:tcW w:w="1862" w:type="dxa"/>
          </w:tcPr>
          <w:p>
            <w:pPr>
              <w:pStyle w:val="TableParagraph"/>
              <w:spacing w:line="219" w:lineRule="exact"/>
              <w:ind w:left="230"/>
              <w:rPr>
                <w:rFonts w:ascii="宋体" w:eastAsia="宋体" w:hint="eastAsia"/>
                <w:sz w:val="18"/>
              </w:rPr>
            </w:pPr>
            <w:r>
              <w:rPr>
                <w:rFonts w:ascii="宋体" w:eastAsia="宋体" w:hint="eastAsia"/>
                <w:sz w:val="18"/>
              </w:rPr>
              <w:t>正常</w:t>
            </w:r>
          </w:p>
        </w:tc>
        <w:tc>
          <w:tcPr>
            <w:tcW w:w="1621" w:type="dxa"/>
          </w:tcPr>
          <w:p>
            <w:pPr>
              <w:pStyle w:val="TableParagraph"/>
              <w:spacing w:before="12"/>
              <w:ind w:left="956"/>
              <w:rPr>
                <w:sz w:val="18"/>
              </w:rPr>
            </w:pPr>
            <w:r>
              <w:rPr>
                <w:sz w:val="18"/>
              </w:rPr>
              <w:t>1109</w:t>
            </w:r>
          </w:p>
        </w:tc>
        <w:tc>
          <w:tcPr>
            <w:tcW w:w="3149" w:type="dxa"/>
          </w:tcPr>
          <w:p>
            <w:pPr>
              <w:pStyle w:val="TableParagraph"/>
              <w:spacing w:line="219" w:lineRule="exact"/>
              <w:ind w:left="302"/>
              <w:rPr>
                <w:rFonts w:ascii="宋体" w:eastAsia="宋体" w:hint="eastAsia"/>
                <w:sz w:val="18"/>
              </w:rPr>
            </w:pPr>
            <w:r>
              <w:rPr>
                <w:sz w:val="18"/>
              </w:rPr>
              <w:t>969</w:t>
            </w:r>
            <w:r>
              <w:rPr>
                <w:rFonts w:ascii="宋体" w:eastAsia="宋体" w:hint="eastAsia"/>
                <w:sz w:val="18"/>
              </w:rPr>
              <w:t>（</w:t>
            </w:r>
            <w:r>
              <w:rPr>
                <w:sz w:val="18"/>
              </w:rPr>
              <w:t>867</w:t>
            </w:r>
            <w:r>
              <w:rPr>
                <w:rFonts w:ascii="宋体" w:eastAsia="宋体" w:hint="eastAsia"/>
                <w:sz w:val="18"/>
              </w:rPr>
              <w:t>～</w:t>
            </w:r>
            <w:r>
              <w:rPr>
                <w:sz w:val="18"/>
              </w:rPr>
              <w:t>1071</w:t>
            </w:r>
            <w:r>
              <w:rPr>
                <w:rFonts w:ascii="宋体" w:eastAsia="宋体" w:hint="eastAsia"/>
                <w:sz w:val="18"/>
              </w:rPr>
              <w:t>）</w:t>
            </w:r>
          </w:p>
        </w:tc>
        <w:tc>
          <w:tcPr>
            <w:tcW w:w="1305" w:type="dxa"/>
          </w:tcPr>
          <w:p>
            <w:pPr>
              <w:pStyle w:val="TableParagraph"/>
              <w:spacing w:before="12"/>
              <w:ind w:left="63"/>
              <w:rPr>
                <w:sz w:val="18"/>
              </w:rPr>
            </w:pPr>
            <w:r>
              <w:rPr>
                <w:sz w:val="18"/>
              </w:rPr>
              <w:t>P&lt;0.05</w:t>
            </w:r>
          </w:p>
        </w:tc>
      </w:tr>
      <w:tr>
        <w:trPr>
          <w:trHeight w:val="219" w:hRule="atLeast"/>
        </w:trPr>
        <w:tc>
          <w:tcPr>
            <w:tcW w:w="1779" w:type="dxa"/>
          </w:tcPr>
          <w:p>
            <w:pPr>
              <w:pStyle w:val="TableParagraph"/>
              <w:rPr>
                <w:sz w:val="14"/>
              </w:rPr>
            </w:pPr>
          </w:p>
        </w:tc>
        <w:tc>
          <w:tcPr>
            <w:tcW w:w="1862" w:type="dxa"/>
          </w:tcPr>
          <w:p>
            <w:pPr>
              <w:pStyle w:val="TableParagraph"/>
              <w:spacing w:line="199" w:lineRule="exact"/>
              <w:ind w:left="230"/>
              <w:rPr>
                <w:rFonts w:ascii="宋体" w:eastAsia="宋体" w:hint="eastAsia"/>
                <w:sz w:val="18"/>
              </w:rPr>
            </w:pPr>
            <w:r>
              <w:rPr>
                <w:rFonts w:ascii="宋体" w:eastAsia="宋体" w:hint="eastAsia"/>
                <w:sz w:val="18"/>
              </w:rPr>
              <w:t>偏高</w:t>
            </w:r>
          </w:p>
        </w:tc>
        <w:tc>
          <w:tcPr>
            <w:tcW w:w="1621" w:type="dxa"/>
          </w:tcPr>
          <w:p>
            <w:pPr>
              <w:pStyle w:val="TableParagraph"/>
              <w:spacing w:line="187" w:lineRule="exact" w:before="12"/>
              <w:ind w:left="956"/>
              <w:rPr>
                <w:sz w:val="18"/>
              </w:rPr>
            </w:pPr>
            <w:r>
              <w:rPr>
                <w:sz w:val="18"/>
              </w:rPr>
              <w:t>351</w:t>
            </w:r>
          </w:p>
        </w:tc>
        <w:tc>
          <w:tcPr>
            <w:tcW w:w="3149" w:type="dxa"/>
          </w:tcPr>
          <w:p>
            <w:pPr>
              <w:pStyle w:val="TableParagraph"/>
              <w:spacing w:line="199" w:lineRule="exact"/>
              <w:ind w:left="302"/>
              <w:rPr>
                <w:rFonts w:ascii="宋体" w:eastAsia="宋体" w:hint="eastAsia"/>
                <w:sz w:val="18"/>
              </w:rPr>
            </w:pPr>
            <w:r>
              <w:rPr>
                <w:sz w:val="18"/>
              </w:rPr>
              <w:t>747</w:t>
            </w:r>
            <w:r>
              <w:rPr>
                <w:rFonts w:ascii="宋体" w:eastAsia="宋体" w:hint="eastAsia"/>
                <w:sz w:val="18"/>
              </w:rPr>
              <w:t>（</w:t>
            </w:r>
            <w:r>
              <w:rPr>
                <w:sz w:val="18"/>
              </w:rPr>
              <w:t>627</w:t>
            </w:r>
            <w:r>
              <w:rPr>
                <w:rFonts w:ascii="宋体" w:eastAsia="宋体" w:hint="eastAsia"/>
                <w:sz w:val="18"/>
              </w:rPr>
              <w:t>～</w:t>
            </w:r>
            <w:r>
              <w:rPr>
                <w:sz w:val="18"/>
              </w:rPr>
              <w:t>867</w:t>
            </w:r>
            <w:r>
              <w:rPr>
                <w:rFonts w:ascii="宋体" w:eastAsia="宋体" w:hint="eastAsia"/>
                <w:sz w:val="18"/>
              </w:rPr>
              <w:t>）</w:t>
            </w:r>
          </w:p>
        </w:tc>
        <w:tc>
          <w:tcPr>
            <w:tcW w:w="1305" w:type="dxa"/>
          </w:tcPr>
          <w:p>
            <w:pPr>
              <w:pStyle w:val="TableParagraph"/>
              <w:rPr>
                <w:sz w:val="14"/>
              </w:rPr>
            </w:pPr>
          </w:p>
        </w:tc>
      </w:tr>
    </w:tbl>
    <w:p>
      <w:pPr>
        <w:spacing w:after="0"/>
        <w:rPr>
          <w:sz w:val="14"/>
        </w:rPr>
        <w:sectPr>
          <w:pgSz w:w="11910" w:h="16850"/>
          <w:pgMar w:header="906" w:footer="531" w:top="1100" w:bottom="800" w:left="1060" w:right="0"/>
        </w:sect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2"/>
        <w:gridCol w:w="2031"/>
        <w:gridCol w:w="1778"/>
        <w:gridCol w:w="2479"/>
        <w:gridCol w:w="1974"/>
      </w:tblGrid>
      <w:tr>
        <w:trPr>
          <w:trHeight w:val="250" w:hRule="atLeast"/>
        </w:trPr>
        <w:tc>
          <w:tcPr>
            <w:tcW w:w="1452" w:type="dxa"/>
            <w:tcBorders>
              <w:top w:val="single" w:sz="6" w:space="0" w:color="000000"/>
            </w:tcBorders>
          </w:tcPr>
          <w:p>
            <w:pPr>
              <w:pStyle w:val="TableParagraph"/>
              <w:spacing w:before="15"/>
              <w:ind w:left="108"/>
              <w:rPr>
                <w:sz w:val="18"/>
              </w:rPr>
            </w:pPr>
            <w:r>
              <w:rPr>
                <w:sz w:val="18"/>
              </w:rPr>
              <w:t>CEA</w:t>
            </w:r>
          </w:p>
        </w:tc>
        <w:tc>
          <w:tcPr>
            <w:tcW w:w="2031" w:type="dxa"/>
            <w:tcBorders>
              <w:top w:val="single" w:sz="6" w:space="0" w:color="000000"/>
            </w:tcBorders>
          </w:tcPr>
          <w:p>
            <w:pPr>
              <w:pStyle w:val="TableParagraph"/>
              <w:spacing w:line="228" w:lineRule="exact" w:before="3"/>
              <w:ind w:left="557"/>
              <w:rPr>
                <w:rFonts w:ascii="宋体" w:eastAsia="宋体" w:hint="eastAsia"/>
                <w:sz w:val="18"/>
              </w:rPr>
            </w:pPr>
            <w:r>
              <w:rPr>
                <w:rFonts w:ascii="宋体" w:eastAsia="宋体" w:hint="eastAsia"/>
                <w:sz w:val="18"/>
              </w:rPr>
              <w:t>正常</w:t>
            </w:r>
          </w:p>
        </w:tc>
        <w:tc>
          <w:tcPr>
            <w:tcW w:w="1778" w:type="dxa"/>
            <w:tcBorders>
              <w:top w:val="single" w:sz="6" w:space="0" w:color="000000"/>
            </w:tcBorders>
          </w:tcPr>
          <w:p>
            <w:pPr>
              <w:pStyle w:val="TableParagraph"/>
              <w:spacing w:before="15"/>
              <w:ind w:left="1114"/>
              <w:rPr>
                <w:sz w:val="18"/>
              </w:rPr>
            </w:pPr>
            <w:r>
              <w:rPr>
                <w:sz w:val="18"/>
              </w:rPr>
              <w:t>768</w:t>
            </w:r>
          </w:p>
        </w:tc>
        <w:tc>
          <w:tcPr>
            <w:tcW w:w="2479" w:type="dxa"/>
            <w:tcBorders>
              <w:top w:val="single" w:sz="6" w:space="0" w:color="000000"/>
            </w:tcBorders>
          </w:tcPr>
          <w:p>
            <w:pPr>
              <w:pStyle w:val="TableParagraph"/>
              <w:spacing w:line="228" w:lineRule="exact" w:before="3"/>
              <w:ind w:left="303"/>
              <w:rPr>
                <w:rFonts w:ascii="宋体" w:eastAsia="宋体" w:hint="eastAsia"/>
                <w:sz w:val="18"/>
              </w:rPr>
            </w:pPr>
            <w:r>
              <w:rPr>
                <w:sz w:val="18"/>
              </w:rPr>
              <w:t>981</w:t>
            </w:r>
            <w:r>
              <w:rPr>
                <w:rFonts w:ascii="宋体" w:eastAsia="宋体" w:hint="eastAsia"/>
                <w:sz w:val="18"/>
              </w:rPr>
              <w:t>（</w:t>
            </w:r>
            <w:r>
              <w:rPr>
                <w:sz w:val="18"/>
              </w:rPr>
              <w:t>831</w:t>
            </w:r>
            <w:r>
              <w:rPr>
                <w:rFonts w:ascii="宋体" w:eastAsia="宋体" w:hint="eastAsia"/>
                <w:sz w:val="18"/>
              </w:rPr>
              <w:t>～</w:t>
            </w:r>
            <w:r>
              <w:rPr>
                <w:sz w:val="18"/>
              </w:rPr>
              <w:t>1131</w:t>
            </w:r>
            <w:r>
              <w:rPr>
                <w:rFonts w:ascii="宋体" w:eastAsia="宋体" w:hint="eastAsia"/>
                <w:sz w:val="18"/>
              </w:rPr>
              <w:t>）</w:t>
            </w:r>
          </w:p>
        </w:tc>
        <w:tc>
          <w:tcPr>
            <w:tcW w:w="1974" w:type="dxa"/>
            <w:tcBorders>
              <w:top w:val="single" w:sz="6" w:space="0" w:color="000000"/>
            </w:tcBorders>
          </w:tcPr>
          <w:p>
            <w:pPr>
              <w:pStyle w:val="TableParagraph"/>
              <w:spacing w:before="15"/>
              <w:ind w:right="721"/>
              <w:jc w:val="right"/>
              <w:rPr>
                <w:sz w:val="18"/>
              </w:rPr>
            </w:pPr>
            <w:r>
              <w:rPr>
                <w:sz w:val="18"/>
              </w:rPr>
              <w:t>P&lt;0.05</w:t>
            </w:r>
          </w:p>
        </w:tc>
      </w:tr>
      <w:tr>
        <w:trPr>
          <w:trHeight w:val="240" w:hRule="atLeast"/>
        </w:trPr>
        <w:tc>
          <w:tcPr>
            <w:tcW w:w="1452" w:type="dxa"/>
          </w:tcPr>
          <w:p>
            <w:pPr>
              <w:pStyle w:val="TableParagraph"/>
              <w:rPr>
                <w:sz w:val="8"/>
              </w:rPr>
            </w:pP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偏高</w:t>
            </w:r>
          </w:p>
        </w:tc>
        <w:tc>
          <w:tcPr>
            <w:tcW w:w="1778" w:type="dxa"/>
          </w:tcPr>
          <w:p>
            <w:pPr>
              <w:pStyle w:val="TableParagraph"/>
              <w:spacing w:before="4"/>
              <w:ind w:left="1114"/>
              <w:rPr>
                <w:sz w:val="18"/>
              </w:rPr>
            </w:pPr>
            <w:r>
              <w:rPr>
                <w:sz w:val="18"/>
              </w:rPr>
              <w:t>692</w:t>
            </w:r>
          </w:p>
        </w:tc>
        <w:tc>
          <w:tcPr>
            <w:tcW w:w="2479" w:type="dxa"/>
          </w:tcPr>
          <w:p>
            <w:pPr>
              <w:pStyle w:val="TableParagraph"/>
              <w:spacing w:line="220" w:lineRule="exact"/>
              <w:ind w:left="303"/>
              <w:rPr>
                <w:rFonts w:ascii="宋体" w:eastAsia="宋体" w:hint="eastAsia"/>
                <w:sz w:val="18"/>
              </w:rPr>
            </w:pPr>
            <w:r>
              <w:rPr>
                <w:sz w:val="18"/>
              </w:rPr>
              <w:t>853</w:t>
            </w:r>
            <w:r>
              <w:rPr>
                <w:rFonts w:ascii="宋体" w:eastAsia="宋体" w:hint="eastAsia"/>
                <w:sz w:val="18"/>
              </w:rPr>
              <w:t>（</w:t>
            </w:r>
            <w:r>
              <w:rPr>
                <w:sz w:val="18"/>
              </w:rPr>
              <w:t>754</w:t>
            </w:r>
            <w:r>
              <w:rPr>
                <w:rFonts w:ascii="宋体" w:eastAsia="宋体" w:hint="eastAsia"/>
                <w:sz w:val="18"/>
              </w:rPr>
              <w:t>～</w:t>
            </w:r>
            <w:r>
              <w:rPr>
                <w:sz w:val="18"/>
              </w:rPr>
              <w:t>952</w:t>
            </w:r>
            <w:r>
              <w:rPr>
                <w:rFonts w:ascii="宋体" w:eastAsia="宋体" w:hint="eastAsia"/>
                <w:sz w:val="18"/>
              </w:rPr>
              <w:t>）</w:t>
            </w:r>
          </w:p>
        </w:tc>
        <w:tc>
          <w:tcPr>
            <w:tcW w:w="1974" w:type="dxa"/>
          </w:tcPr>
          <w:p>
            <w:pPr>
              <w:pStyle w:val="TableParagraph"/>
              <w:rPr>
                <w:sz w:val="8"/>
              </w:rPr>
            </w:pPr>
          </w:p>
        </w:tc>
      </w:tr>
      <w:tr>
        <w:trPr>
          <w:trHeight w:val="240" w:hRule="atLeast"/>
        </w:trPr>
        <w:tc>
          <w:tcPr>
            <w:tcW w:w="1452" w:type="dxa"/>
          </w:tcPr>
          <w:p>
            <w:pPr>
              <w:pStyle w:val="TableParagraph"/>
              <w:spacing w:before="4"/>
              <w:ind w:left="108"/>
              <w:rPr>
                <w:sz w:val="18"/>
              </w:rPr>
            </w:pPr>
            <w:r>
              <w:rPr>
                <w:sz w:val="18"/>
              </w:rPr>
              <w:t>CA125</w:t>
            </w: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正常</w:t>
            </w:r>
          </w:p>
        </w:tc>
        <w:tc>
          <w:tcPr>
            <w:tcW w:w="1778" w:type="dxa"/>
          </w:tcPr>
          <w:p>
            <w:pPr>
              <w:pStyle w:val="TableParagraph"/>
              <w:spacing w:before="4"/>
              <w:ind w:left="1114"/>
              <w:rPr>
                <w:sz w:val="18"/>
              </w:rPr>
            </w:pPr>
            <w:r>
              <w:rPr>
                <w:sz w:val="18"/>
              </w:rPr>
              <w:t>809</w:t>
            </w:r>
          </w:p>
        </w:tc>
        <w:tc>
          <w:tcPr>
            <w:tcW w:w="2479" w:type="dxa"/>
          </w:tcPr>
          <w:p>
            <w:pPr>
              <w:pStyle w:val="TableParagraph"/>
              <w:spacing w:line="220" w:lineRule="exact"/>
              <w:ind w:left="303"/>
              <w:rPr>
                <w:rFonts w:ascii="宋体" w:eastAsia="宋体" w:hint="eastAsia"/>
                <w:sz w:val="18"/>
              </w:rPr>
            </w:pPr>
            <w:r>
              <w:rPr>
                <w:sz w:val="18"/>
              </w:rPr>
              <w:t>988</w:t>
            </w:r>
            <w:r>
              <w:rPr>
                <w:rFonts w:ascii="宋体" w:eastAsia="宋体" w:hint="eastAsia"/>
                <w:sz w:val="18"/>
              </w:rPr>
              <w:t>（</w:t>
            </w:r>
            <w:r>
              <w:rPr>
                <w:sz w:val="18"/>
              </w:rPr>
              <w:t>837</w:t>
            </w:r>
            <w:r>
              <w:rPr>
                <w:rFonts w:ascii="宋体" w:eastAsia="宋体" w:hint="eastAsia"/>
                <w:sz w:val="18"/>
              </w:rPr>
              <w:t>～</w:t>
            </w:r>
            <w:r>
              <w:rPr>
                <w:sz w:val="18"/>
              </w:rPr>
              <w:t>1139</w:t>
            </w:r>
            <w:r>
              <w:rPr>
                <w:rFonts w:ascii="宋体" w:eastAsia="宋体" w:hint="eastAsia"/>
                <w:sz w:val="18"/>
              </w:rPr>
              <w:t>）</w:t>
            </w:r>
          </w:p>
        </w:tc>
        <w:tc>
          <w:tcPr>
            <w:tcW w:w="1974" w:type="dxa"/>
          </w:tcPr>
          <w:p>
            <w:pPr>
              <w:pStyle w:val="TableParagraph"/>
              <w:spacing w:before="4"/>
              <w:ind w:right="721"/>
              <w:jc w:val="right"/>
              <w:rPr>
                <w:sz w:val="18"/>
              </w:rPr>
            </w:pPr>
            <w:r>
              <w:rPr>
                <w:sz w:val="18"/>
              </w:rPr>
              <w:t>P&lt;0.05</w:t>
            </w:r>
          </w:p>
        </w:tc>
      </w:tr>
      <w:tr>
        <w:trPr>
          <w:trHeight w:val="240" w:hRule="atLeast"/>
        </w:trPr>
        <w:tc>
          <w:tcPr>
            <w:tcW w:w="1452" w:type="dxa"/>
          </w:tcPr>
          <w:p>
            <w:pPr>
              <w:pStyle w:val="TableParagraph"/>
              <w:rPr>
                <w:sz w:val="8"/>
              </w:rPr>
            </w:pP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偏高</w:t>
            </w:r>
          </w:p>
        </w:tc>
        <w:tc>
          <w:tcPr>
            <w:tcW w:w="1778" w:type="dxa"/>
          </w:tcPr>
          <w:p>
            <w:pPr>
              <w:pStyle w:val="TableParagraph"/>
              <w:spacing w:before="4"/>
              <w:ind w:left="1114"/>
              <w:rPr>
                <w:sz w:val="18"/>
              </w:rPr>
            </w:pPr>
            <w:r>
              <w:rPr>
                <w:sz w:val="18"/>
              </w:rPr>
              <w:t>651</w:t>
            </w:r>
          </w:p>
        </w:tc>
        <w:tc>
          <w:tcPr>
            <w:tcW w:w="2479" w:type="dxa"/>
          </w:tcPr>
          <w:p>
            <w:pPr>
              <w:pStyle w:val="TableParagraph"/>
              <w:spacing w:line="220" w:lineRule="exact"/>
              <w:ind w:left="303"/>
              <w:rPr>
                <w:rFonts w:ascii="宋体" w:eastAsia="宋体" w:hint="eastAsia"/>
                <w:sz w:val="18"/>
              </w:rPr>
            </w:pPr>
            <w:r>
              <w:rPr>
                <w:sz w:val="18"/>
              </w:rPr>
              <w:t>818</w:t>
            </w:r>
            <w:r>
              <w:rPr>
                <w:rFonts w:ascii="宋体" w:eastAsia="宋体" w:hint="eastAsia"/>
                <w:sz w:val="18"/>
              </w:rPr>
              <w:t>（</w:t>
            </w:r>
            <w:r>
              <w:rPr>
                <w:sz w:val="18"/>
              </w:rPr>
              <w:t>726</w:t>
            </w:r>
            <w:r>
              <w:rPr>
                <w:rFonts w:ascii="宋体" w:eastAsia="宋体" w:hint="eastAsia"/>
                <w:sz w:val="18"/>
              </w:rPr>
              <w:t>～</w:t>
            </w:r>
            <w:r>
              <w:rPr>
                <w:sz w:val="18"/>
              </w:rPr>
              <w:t>910</w:t>
            </w:r>
            <w:r>
              <w:rPr>
                <w:rFonts w:ascii="宋体" w:eastAsia="宋体" w:hint="eastAsia"/>
                <w:sz w:val="18"/>
              </w:rPr>
              <w:t>）</w:t>
            </w:r>
          </w:p>
        </w:tc>
        <w:tc>
          <w:tcPr>
            <w:tcW w:w="1974" w:type="dxa"/>
          </w:tcPr>
          <w:p>
            <w:pPr>
              <w:pStyle w:val="TableParagraph"/>
              <w:rPr>
                <w:sz w:val="8"/>
              </w:rPr>
            </w:pPr>
          </w:p>
        </w:tc>
      </w:tr>
      <w:tr>
        <w:trPr>
          <w:trHeight w:val="240" w:hRule="atLeast"/>
        </w:trPr>
        <w:tc>
          <w:tcPr>
            <w:tcW w:w="1452" w:type="dxa"/>
          </w:tcPr>
          <w:p>
            <w:pPr>
              <w:pStyle w:val="TableParagraph"/>
              <w:spacing w:before="4"/>
              <w:ind w:left="108"/>
              <w:rPr>
                <w:sz w:val="18"/>
              </w:rPr>
            </w:pPr>
            <w:r>
              <w:rPr>
                <w:sz w:val="18"/>
              </w:rPr>
              <w:t>Cyfra 21-1</w:t>
            </w: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正常</w:t>
            </w:r>
          </w:p>
        </w:tc>
        <w:tc>
          <w:tcPr>
            <w:tcW w:w="1778" w:type="dxa"/>
          </w:tcPr>
          <w:p>
            <w:pPr>
              <w:pStyle w:val="TableParagraph"/>
              <w:spacing w:before="4"/>
              <w:ind w:left="1114"/>
              <w:rPr>
                <w:sz w:val="18"/>
              </w:rPr>
            </w:pPr>
            <w:r>
              <w:rPr>
                <w:sz w:val="18"/>
              </w:rPr>
              <w:t>804</w:t>
            </w:r>
          </w:p>
        </w:tc>
        <w:tc>
          <w:tcPr>
            <w:tcW w:w="2479" w:type="dxa"/>
          </w:tcPr>
          <w:p>
            <w:pPr>
              <w:pStyle w:val="TableParagraph"/>
              <w:spacing w:line="220" w:lineRule="exact"/>
              <w:ind w:left="303"/>
              <w:rPr>
                <w:sz w:val="18"/>
              </w:rPr>
            </w:pPr>
            <w:r>
              <w:rPr>
                <w:sz w:val="18"/>
              </w:rPr>
              <w:t>949(823</w:t>
            </w:r>
            <w:r>
              <w:rPr>
                <w:rFonts w:ascii="宋体" w:eastAsia="宋体" w:hint="eastAsia"/>
                <w:sz w:val="18"/>
              </w:rPr>
              <w:t>～</w:t>
            </w:r>
            <w:r>
              <w:rPr>
                <w:sz w:val="18"/>
              </w:rPr>
              <w:t>1075)</w:t>
            </w:r>
          </w:p>
        </w:tc>
        <w:tc>
          <w:tcPr>
            <w:tcW w:w="1974" w:type="dxa"/>
          </w:tcPr>
          <w:p>
            <w:pPr>
              <w:pStyle w:val="TableParagraph"/>
              <w:spacing w:before="4"/>
              <w:ind w:right="721"/>
              <w:jc w:val="right"/>
              <w:rPr>
                <w:sz w:val="18"/>
              </w:rPr>
            </w:pPr>
            <w:r>
              <w:rPr>
                <w:sz w:val="18"/>
              </w:rPr>
              <w:t>P&lt;0.05</w:t>
            </w:r>
          </w:p>
        </w:tc>
      </w:tr>
      <w:tr>
        <w:trPr>
          <w:trHeight w:val="240" w:hRule="atLeast"/>
        </w:trPr>
        <w:tc>
          <w:tcPr>
            <w:tcW w:w="1452" w:type="dxa"/>
          </w:tcPr>
          <w:p>
            <w:pPr>
              <w:pStyle w:val="TableParagraph"/>
              <w:rPr>
                <w:sz w:val="8"/>
              </w:rPr>
            </w:pP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偏高</w:t>
            </w:r>
          </w:p>
        </w:tc>
        <w:tc>
          <w:tcPr>
            <w:tcW w:w="1778" w:type="dxa"/>
          </w:tcPr>
          <w:p>
            <w:pPr>
              <w:pStyle w:val="TableParagraph"/>
              <w:spacing w:before="4"/>
              <w:ind w:left="1114"/>
              <w:rPr>
                <w:sz w:val="18"/>
              </w:rPr>
            </w:pPr>
            <w:r>
              <w:rPr>
                <w:sz w:val="18"/>
              </w:rPr>
              <w:t>656</w:t>
            </w:r>
          </w:p>
        </w:tc>
        <w:tc>
          <w:tcPr>
            <w:tcW w:w="2479" w:type="dxa"/>
          </w:tcPr>
          <w:p>
            <w:pPr>
              <w:pStyle w:val="TableParagraph"/>
              <w:spacing w:line="220" w:lineRule="exact"/>
              <w:ind w:left="303"/>
              <w:rPr>
                <w:sz w:val="18"/>
              </w:rPr>
            </w:pPr>
            <w:r>
              <w:rPr>
                <w:sz w:val="18"/>
              </w:rPr>
              <w:t>838(722</w:t>
            </w:r>
            <w:r>
              <w:rPr>
                <w:rFonts w:ascii="宋体" w:eastAsia="宋体" w:hint="eastAsia"/>
                <w:sz w:val="18"/>
              </w:rPr>
              <w:t>～</w:t>
            </w:r>
            <w:r>
              <w:rPr>
                <w:sz w:val="18"/>
              </w:rPr>
              <w:t>954)</w:t>
            </w:r>
          </w:p>
        </w:tc>
        <w:tc>
          <w:tcPr>
            <w:tcW w:w="1974" w:type="dxa"/>
          </w:tcPr>
          <w:p>
            <w:pPr>
              <w:pStyle w:val="TableParagraph"/>
              <w:rPr>
                <w:sz w:val="8"/>
              </w:rPr>
            </w:pPr>
          </w:p>
        </w:tc>
      </w:tr>
      <w:tr>
        <w:trPr>
          <w:trHeight w:val="240" w:hRule="atLeast"/>
        </w:trPr>
        <w:tc>
          <w:tcPr>
            <w:tcW w:w="1452" w:type="dxa"/>
          </w:tcPr>
          <w:p>
            <w:pPr>
              <w:pStyle w:val="TableParagraph"/>
              <w:spacing w:before="4"/>
              <w:ind w:left="108"/>
              <w:rPr>
                <w:sz w:val="18"/>
              </w:rPr>
            </w:pPr>
            <w:r>
              <w:rPr>
                <w:sz w:val="18"/>
              </w:rPr>
              <w:t>SCC</w:t>
            </w:r>
          </w:p>
        </w:tc>
        <w:tc>
          <w:tcPr>
            <w:tcW w:w="2031" w:type="dxa"/>
          </w:tcPr>
          <w:p>
            <w:pPr>
              <w:pStyle w:val="TableParagraph"/>
              <w:spacing w:line="220" w:lineRule="exact"/>
              <w:ind w:left="557"/>
              <w:rPr>
                <w:rFonts w:ascii="宋体" w:eastAsia="宋体" w:hint="eastAsia"/>
                <w:sz w:val="18"/>
              </w:rPr>
            </w:pPr>
            <w:r>
              <w:rPr>
                <w:rFonts w:ascii="宋体" w:eastAsia="宋体" w:hint="eastAsia"/>
                <w:sz w:val="18"/>
              </w:rPr>
              <w:t>正常</w:t>
            </w:r>
          </w:p>
        </w:tc>
        <w:tc>
          <w:tcPr>
            <w:tcW w:w="1778" w:type="dxa"/>
          </w:tcPr>
          <w:p>
            <w:pPr>
              <w:pStyle w:val="TableParagraph"/>
              <w:spacing w:before="4"/>
              <w:ind w:left="1114"/>
              <w:rPr>
                <w:sz w:val="18"/>
              </w:rPr>
            </w:pPr>
            <w:r>
              <w:rPr>
                <w:sz w:val="18"/>
              </w:rPr>
              <w:t>1098</w:t>
            </w:r>
          </w:p>
        </w:tc>
        <w:tc>
          <w:tcPr>
            <w:tcW w:w="2479" w:type="dxa"/>
          </w:tcPr>
          <w:p>
            <w:pPr>
              <w:pStyle w:val="TableParagraph"/>
              <w:spacing w:line="220" w:lineRule="exact"/>
              <w:ind w:left="303"/>
              <w:rPr>
                <w:sz w:val="18"/>
              </w:rPr>
            </w:pPr>
            <w:r>
              <w:rPr>
                <w:sz w:val="18"/>
              </w:rPr>
              <w:t>898(793</w:t>
            </w:r>
            <w:r>
              <w:rPr>
                <w:rFonts w:ascii="宋体" w:eastAsia="宋体" w:hint="eastAsia"/>
                <w:sz w:val="18"/>
              </w:rPr>
              <w:t>～</w:t>
            </w:r>
            <w:r>
              <w:rPr>
                <w:sz w:val="18"/>
              </w:rPr>
              <w:t>1003)</w:t>
            </w:r>
          </w:p>
        </w:tc>
        <w:tc>
          <w:tcPr>
            <w:tcW w:w="1974" w:type="dxa"/>
          </w:tcPr>
          <w:p>
            <w:pPr>
              <w:pStyle w:val="TableParagraph"/>
              <w:spacing w:before="4"/>
              <w:ind w:right="721"/>
              <w:jc w:val="right"/>
              <w:rPr>
                <w:sz w:val="18"/>
              </w:rPr>
            </w:pPr>
            <w:r>
              <w:rPr>
                <w:sz w:val="18"/>
              </w:rPr>
              <w:t>P&gt;0.05</w:t>
            </w:r>
          </w:p>
        </w:tc>
      </w:tr>
      <w:tr>
        <w:trPr>
          <w:trHeight w:val="228" w:hRule="atLeast"/>
        </w:trPr>
        <w:tc>
          <w:tcPr>
            <w:tcW w:w="1452" w:type="dxa"/>
            <w:tcBorders>
              <w:bottom w:val="single" w:sz="4" w:space="0" w:color="000000"/>
            </w:tcBorders>
          </w:tcPr>
          <w:p>
            <w:pPr>
              <w:pStyle w:val="TableParagraph"/>
              <w:rPr>
                <w:sz w:val="8"/>
              </w:rPr>
            </w:pPr>
          </w:p>
        </w:tc>
        <w:tc>
          <w:tcPr>
            <w:tcW w:w="2031" w:type="dxa"/>
            <w:tcBorders>
              <w:bottom w:val="single" w:sz="4" w:space="0" w:color="000000"/>
            </w:tcBorders>
          </w:tcPr>
          <w:p>
            <w:pPr>
              <w:pStyle w:val="TableParagraph"/>
              <w:spacing w:line="209" w:lineRule="exact"/>
              <w:ind w:left="557"/>
              <w:rPr>
                <w:rFonts w:ascii="宋体" w:eastAsia="宋体" w:hint="eastAsia"/>
                <w:sz w:val="18"/>
              </w:rPr>
            </w:pPr>
            <w:r>
              <w:rPr>
                <w:rFonts w:ascii="宋体" w:eastAsia="宋体" w:hint="eastAsia"/>
                <w:sz w:val="18"/>
              </w:rPr>
              <w:t>偏高</w:t>
            </w:r>
          </w:p>
        </w:tc>
        <w:tc>
          <w:tcPr>
            <w:tcW w:w="1778" w:type="dxa"/>
            <w:tcBorders>
              <w:bottom w:val="single" w:sz="4" w:space="0" w:color="000000"/>
            </w:tcBorders>
          </w:tcPr>
          <w:p>
            <w:pPr>
              <w:pStyle w:val="TableParagraph"/>
              <w:spacing w:line="205" w:lineRule="exact" w:before="4"/>
              <w:ind w:left="1114"/>
              <w:rPr>
                <w:sz w:val="18"/>
              </w:rPr>
            </w:pPr>
            <w:r>
              <w:rPr>
                <w:sz w:val="18"/>
              </w:rPr>
              <w:t>362</w:t>
            </w:r>
          </w:p>
        </w:tc>
        <w:tc>
          <w:tcPr>
            <w:tcW w:w="2479" w:type="dxa"/>
            <w:tcBorders>
              <w:bottom w:val="single" w:sz="4" w:space="0" w:color="000000"/>
            </w:tcBorders>
          </w:tcPr>
          <w:p>
            <w:pPr>
              <w:pStyle w:val="TableParagraph"/>
              <w:spacing w:line="209" w:lineRule="exact"/>
              <w:ind w:left="303"/>
              <w:rPr>
                <w:rFonts w:ascii="宋体" w:eastAsia="宋体" w:hint="eastAsia"/>
                <w:sz w:val="18"/>
              </w:rPr>
            </w:pPr>
            <w:r>
              <w:rPr>
                <w:sz w:val="18"/>
              </w:rPr>
              <w:t>949(796</w:t>
            </w:r>
            <w:r>
              <w:rPr>
                <w:rFonts w:ascii="宋体" w:eastAsia="宋体" w:hint="eastAsia"/>
                <w:sz w:val="18"/>
              </w:rPr>
              <w:t>～</w:t>
            </w:r>
            <w:r>
              <w:rPr>
                <w:sz w:val="18"/>
              </w:rPr>
              <w:t>1102</w:t>
            </w:r>
            <w:r>
              <w:rPr>
                <w:rFonts w:ascii="宋体" w:eastAsia="宋体" w:hint="eastAsia"/>
                <w:sz w:val="18"/>
              </w:rPr>
              <w:t>）</w:t>
            </w:r>
          </w:p>
        </w:tc>
        <w:tc>
          <w:tcPr>
            <w:tcW w:w="1974" w:type="dxa"/>
            <w:tcBorders>
              <w:bottom w:val="single" w:sz="4" w:space="0" w:color="000000"/>
            </w:tcBorders>
          </w:tcPr>
          <w:p>
            <w:pPr>
              <w:pStyle w:val="TableParagraph"/>
              <w:rPr>
                <w:sz w:val="8"/>
              </w:rPr>
            </w:pPr>
          </w:p>
        </w:tc>
      </w:tr>
    </w:tbl>
    <w:p>
      <w:pPr>
        <w:spacing w:line="194" w:lineRule="auto" w:before="20"/>
        <w:ind w:left="217" w:right="1128" w:firstLine="420"/>
        <w:jc w:val="left"/>
        <w:rPr>
          <w:rFonts w:ascii="华文楷体" w:eastAsia="华文楷体" w:hint="eastAsia"/>
          <w:sz w:val="18"/>
        </w:rPr>
      </w:pPr>
      <w:r>
        <w:rPr>
          <w:rFonts w:ascii="华文楷体" w:eastAsia="华文楷体" w:hint="eastAsia"/>
          <w:spacing w:val="-10"/>
          <w:sz w:val="18"/>
        </w:rPr>
        <w:t>NSE</w:t>
      </w:r>
      <w:r>
        <w:rPr>
          <w:rFonts w:ascii="华文楷体" w:eastAsia="华文楷体" w:hint="eastAsia"/>
          <w:spacing w:val="-4"/>
          <w:sz w:val="18"/>
        </w:rPr>
        <w:t>：神经元特异性烯醇化酶；</w:t>
      </w:r>
      <w:r>
        <w:rPr>
          <w:rFonts w:ascii="华文楷体" w:eastAsia="华文楷体" w:hint="eastAsia"/>
          <w:spacing w:val="-15"/>
          <w:sz w:val="18"/>
        </w:rPr>
        <w:t>CEA</w:t>
      </w:r>
      <w:r>
        <w:rPr>
          <w:rFonts w:ascii="华文楷体" w:eastAsia="华文楷体" w:hint="eastAsia"/>
          <w:spacing w:val="-6"/>
          <w:sz w:val="18"/>
        </w:rPr>
        <w:t>：癌胚抗原；</w:t>
      </w:r>
      <w:r>
        <w:rPr>
          <w:rFonts w:ascii="华文楷体" w:eastAsia="华文楷体" w:hint="eastAsia"/>
          <w:spacing w:val="-12"/>
          <w:sz w:val="18"/>
        </w:rPr>
        <w:t>CA125</w:t>
      </w:r>
      <w:r>
        <w:rPr>
          <w:rFonts w:ascii="华文楷体" w:eastAsia="华文楷体" w:hint="eastAsia"/>
          <w:spacing w:val="-3"/>
          <w:sz w:val="18"/>
        </w:rPr>
        <w:t>：糖类癌抗原</w:t>
      </w:r>
      <w:r>
        <w:rPr>
          <w:rFonts w:ascii="华文楷体" w:eastAsia="华文楷体" w:hint="eastAsia"/>
          <w:spacing w:val="-5"/>
          <w:sz w:val="18"/>
        </w:rPr>
        <w:t>125；Cyfra </w:t>
      </w:r>
      <w:r>
        <w:rPr>
          <w:rFonts w:ascii="华文楷体" w:eastAsia="华文楷体" w:hint="eastAsia"/>
          <w:spacing w:val="-9"/>
          <w:sz w:val="18"/>
        </w:rPr>
        <w:t>21-1</w:t>
      </w:r>
      <w:r>
        <w:rPr>
          <w:rFonts w:ascii="华文楷体" w:eastAsia="华文楷体" w:hint="eastAsia"/>
          <w:spacing w:val="-3"/>
          <w:sz w:val="18"/>
        </w:rPr>
        <w:t>：细胞角蛋白-</w:t>
      </w:r>
      <w:r>
        <w:rPr>
          <w:rFonts w:ascii="华文楷体" w:eastAsia="华文楷体" w:hint="eastAsia"/>
          <w:sz w:val="18"/>
        </w:rPr>
        <w:t>19</w:t>
      </w:r>
      <w:r>
        <w:rPr>
          <w:rFonts w:ascii="华文楷体" w:eastAsia="华文楷体" w:hint="eastAsia"/>
          <w:spacing w:val="-2"/>
          <w:sz w:val="18"/>
        </w:rPr>
        <w:t>片断抗原；</w:t>
      </w:r>
      <w:r>
        <w:rPr>
          <w:rFonts w:ascii="华文楷体" w:eastAsia="华文楷体" w:hint="eastAsia"/>
          <w:spacing w:val="-8"/>
          <w:sz w:val="18"/>
        </w:rPr>
        <w:t>SCC： </w:t>
      </w:r>
      <w:r>
        <w:rPr>
          <w:rFonts w:ascii="华文楷体" w:eastAsia="华文楷体" w:hint="eastAsia"/>
          <w:sz w:val="18"/>
        </w:rPr>
        <w:t>鳞状上皮细胞癌抗原。-：研究期结束未观测到半数患者死亡。</w:t>
      </w:r>
    </w:p>
    <w:p>
      <w:pPr>
        <w:pStyle w:val="BodyText"/>
        <w:spacing w:before="12"/>
        <w:ind w:left="0"/>
        <w:rPr>
          <w:rFonts w:ascii="华文楷体"/>
          <w:sz w:val="6"/>
        </w:rPr>
      </w:pPr>
    </w:p>
    <w:p>
      <w:pPr>
        <w:spacing w:after="0"/>
        <w:rPr>
          <w:rFonts w:ascii="华文楷体"/>
          <w:sz w:val="6"/>
        </w:rPr>
        <w:sectPr>
          <w:headerReference w:type="default" r:id="rId10"/>
          <w:footerReference w:type="default" r:id="rId11"/>
          <w:pgSz w:w="11910" w:h="16850"/>
          <w:pgMar w:header="0" w:footer="607" w:top="1100" w:bottom="800" w:left="1060" w:right="0"/>
          <w:pgNumType w:start="21"/>
        </w:sectPr>
      </w:pPr>
    </w:p>
    <w:p>
      <w:pPr>
        <w:pStyle w:val="BodyText"/>
        <w:spacing w:before="5"/>
        <w:ind w:left="0"/>
        <w:rPr>
          <w:rFonts w:ascii="华文楷体"/>
          <w:sz w:val="7"/>
        </w:rPr>
      </w:pPr>
    </w:p>
    <w:p>
      <w:pPr>
        <w:spacing w:before="0"/>
        <w:ind w:left="1210" w:right="0" w:firstLine="0"/>
        <w:jc w:val="left"/>
        <w:rPr>
          <w:rFonts w:ascii="Arial"/>
          <w:b/>
          <w:sz w:val="7"/>
        </w:rPr>
      </w:pPr>
      <w:r>
        <w:rPr/>
        <w:pict>
          <v:group style="position:absolute;margin-left:78.819672pt;margin-top:9.107867pt;width:109.3pt;height:95.6pt;mso-position-horizontal-relative:page;mso-position-vertical-relative:paragraph;z-index:1096" coordorigin="1576,182" coordsize="2186,1912">
            <v:shape style="position:absolute;left:1381;top:1291;width:11158;height:10031" coordorigin="1382,1292" coordsize="11158,10031" path="m1612,2060l3548,2060m1612,2060l1612,2094m1890,2060l1890,2094m2164,2060l2164,2094m2443,2060l2443,2094m2717,2060l2717,2094m2995,2060l2995,2094m3270,2060l3270,2094m3548,2060l3548,2094m1612,1987l1612,253m1612,1987l1576,1987m1612,1643l1576,1643m1612,1296l1576,1296m1612,948l1576,948m1612,600l1576,600m1612,253l1576,253m1612,2060l3759,2060,3759,184,1612,184,1612,2060e" filled="false" stroked="true" strokeweight=".193027pt" strokecolor="#000000">
              <v:path arrowok="t"/>
              <v:stroke dashstyle="solid"/>
            </v:shape>
            <v:shape style="position:absolute;left:1611;top:252;width:1788;height:1735" coordorigin="1612,253" coordsize="1788,1735" path="m1612,253l1627,253,1627,257,1631,257,1631,264,1639,264,1639,268,1639,272,1643,272,1643,276,1651,276,1651,280,1663,280,1663,291,1667,291,1667,295,1670,295,1670,299,1678,299,1678,302,1678,306,1682,306,1682,314,1682,318,1682,322,1686,322,1686,325,1686,329,1690,329,1690,337,1690,341,1694,341,1694,348,1702,348,1702,356,1706,356,1706,360,1706,364,1710,364,1710,367,1710,375,1718,375,1718,379,1718,386,1721,386,1721,394,1725,394,1725,398,1725,402,1733,402,1733,406,1745,406,1745,417,1745,421,1749,421,1749,429,1749,432,1753,432,1753,436,1753,440,1753,448,1757,448,1757,451,1761,451,1761,455,1761,463,1761,467,1765,467,1765,471,1765,478,1765,482,1768,482,1768,486,1772,486,1772,501,1776,501,1776,505,1776,513,1780,513,1780,520,1784,520,1784,528,1784,532,1792,532,1792,536,1792,543,1792,547,1800,547,1800,551,1804,551,1804,558,1808,558,1808,562,1812,562,1812,570,1815,570,1815,585,1815,589,1819,589,1819,593,1823,593,1823,600,1827,600,1827,604,1831,604,1831,612,1831,616,1835,616,1835,627,1835,631,1839,631,1839,635,1847,635,1847,642,1851,642,1851,646,1851,654,1855,654,1855,658,1859,658,1859,662,1863,662,1863,669,1863,673,1866,673,1866,681,1870,681,1870,684,1874,684,1874,692,1878,692,1878,696,1882,696,1882,700,1886,700,1886,707,1890,707,1890,711,1894,711,1894,719,1898,719,1898,723,1898,730,1898,734,1913,734,1913,742,1913,746,1917,746,1917,749,1917,757,1921,757,1921,761,1925,761,1925,769,1929,769,1929,772,1929,780,1937,780,1937,784,1949,784,1949,795,1949,803,1953,803,1953,807,1957,807,1957,814,1957,818,1957,826,1968,826,1968,830,1968,833,1980,833,1980,841,1980,845,1980,853,1996,853,1996,856,2000,856,2000,864,2004,864,2004,875,2004,879,2008,879,2008,887,2023,887,2023,891,2023,902,2027,902,2027,910,2027,914,2031,914,2031,921,2035,921,2035,929,2035,933,2043,933,2043,944,2047,944,2047,952,2051,952,2051,956,2055,956,2055,963,2062,963,2062,975,2070,975,2070,986,2070,990,2074,990,2074,998,2086,998,2086,1005,2098,1005,2098,1009,2117,1009,2117,1017,2117,1021,2121,1021,2121,1028,2133,1028,2133,1032,2133,1040,2137,1040,2137,1043,2141,1043,2141,1051,2149,1051,2149,1059,2156,1059,2156,1063,2176,1063,2176,1070,2188,1070,2188,1074,2188,1082,2192,1082,2192,1089,2192,1093,2192,1101,2203,1101,2203,1105,2207,1105,2207,1112,2215,1112,2215,1116,2215,1124,2223,1124,2223,1131,2227,1131,2227,1135,2235,1135,2235,1143,2239,1143,2239,1147,2243,1147,2243,1154,2247,1154,2247,1166,2247,1173,2262,1173,2262,1177,2262,1185,2270,1185,2270,1192,2274,1192,2274,1196,2278,1196,2278,1208,2298,1208,2298,1215,2298,1223,2301,1223,2301,1227,2305,1227,2305,1234,2313,1234,2313,1242,2329,1242,2329,1246,2341,1246,2341,1254,2349,1254,2349,1257,2360,1257,2360,1265,2376,1265,2376,1273,2400,1273,2400,1277,2403,1277,2403,1284,2419,1284,2419,1288,2431,1288,2431,1296,2431,1303,2431,1307,2490,1307,2490,1315,2493,1315,2493,1319,2501,1319,2501,1326,2505,1326,2505,1334,2537,1334,2537,1338,2537,1345,2564,1345,2564,1353,2572,1353,2572,1357,2576,1357,2576,1364,2588,1364,2588,1368,2592,1368,2592,1376,2709,1376,2709,1395,2729,1395,2729,1414,2752,1414,2752,1433,3093,1433,3093,1620,3399,1620,3399,1987e" filled="false" stroked="true" strokeweight=".192948pt" strokecolor="#ff0000">
              <v:path arrowok="t"/>
              <v:stroke dashstyle="solid"/>
            </v:shape>
            <v:shape style="position:absolute;left:1611;top:252;width:2066;height:1483" coordorigin="1612,253" coordsize="2066,1483" path="m1612,253l1620,253,1620,257,1623,257,1623,260,1623,264,1627,264,1631,264,1631,268,1635,268,1651,268,1651,272,1655,272,1655,276,1655,280,1655,283,1659,283,1659,287,1663,287,1663,291,1663,295,1667,295,1667,299,1667,302,1670,302,1670,306,1674,306,1674,310,1678,310,1678,314,1682,314,1682,318,1682,322,1682,325,1686,325,1686,329,1690,329,1690,333,1694,333,1694,337,1694,341,1694,345,1694,348,1694,352,1698,352,1698,356,1702,356,1702,360,1702,364,1706,364,1706,367,1706,371,1714,371,1714,379,1714,383,1714,386,1714,390,1718,390,1718,394,1718,398,1718,402,1718,409,1721,409,1721,413,1721,417,1721,421,1721,425,1725,425,1729,425,1729,429,1729,436,1729,440,1729,444,1733,444,1737,444,1737,448,1737,451,1737,455,1737,459,1737,463,1741,463,1741,467,1745,467,1745,471,1749,471,1749,478,1749,482,1749,486,1749,490,1749,493,1753,493,1753,497,1757,497,1757,501,1757,505,1761,505,1761,509,1761,513,1765,513,1765,516,1765,520,1765,524,1768,524,1768,528,1768,532,1772,532,1772,536,1772,543,1776,543,1776,547,1776,551,1776,555,1780,555,1780,558,1780,562,1788,562,1788,570,1792,570,1792,574,1792,577,1792,581,1796,581,1796,585,1796,589,1800,589,1800,593,1800,597,1800,600,1804,600,1804,604,1804,608,1804,612,1804,616,1808,616,1808,627,1808,631,1812,631,1812,635,1812,639,1815,639,1815,642,1815,658,1819,658,1819,662,1823,662,1823,665,1823,669,1827,669,1827,673,1827,677,1831,677,1831,681,1831,684,1831,688,1835,688,1835,692,1835,696,1839,696,1839,700,1839,703,1839,707,1839,711,1843,711,1847,711,1847,715,1847,723,1851,723,1855,723,1855,726,1855,730,1855,734,1855,742,1859,742,1859,742,1859,746,1859,749,1859,753,1863,753,1863,757,1863,761,1866,761,1866,765,1870,765,1874,765,1874,769,1874,772,1878,772,1878,776,1878,780,1878,784,1882,784,1882,788,1886,788,1886,791,1886,795,1886,799,1890,799,1890,803,1894,803,1894,807,1894,810,1898,810,1898,814,1898,818,1898,826,1902,826,1902,826,1902,830,1902,833,1902,837,1906,837,1906,841,1906,845,1910,845,1910,849,1910,853,1910,860,1913,860,1913,864,1917,864,1917,868,1917,872,1917,875,1921,875,1921,879,1925,879,1925,883,1925,887,1929,887,1929,891,1929,895,1933,895,1933,898,1937,898,1937,902,1941,902,1941,906,1941,910,1945,910,1945,914,1945,917,1949,917,1949,921,1949,925,1949,929,1953,929,1953,933,1957,933,1957,937,1957,940,1961,940,1961,944,1961,948,1964,948,1964,952,1964,956,1972,956,1976,956,1976,959,1980,959,1980,963,1980,967,1984,967,1984,971,1984,975,1984,979,1988,979,1988,982,1988,986,1992,986,1992,990,1992,994,1996,994,1996,998,1996,1001,1996,1005,2000,1005,2000,1009,2000,1013,2004,1013,2004,1017,2008,1017,2008,1021,2008,1024,2011,1024,2011,1028,2011,1032,2015,1032,2015,1036,2015,1040,2019,1040,2019,1040,2019,1043,2019,1047,2019,1051,2019,1055,2023,1055,2023,1059,2023,1066,2027,1066,2027,1070,2031,1070,2031,1074,2035,1074,2035,1078,2039,1078,2039,1086,2043,1086,2043,1089,2043,1093,2047,1093,2047,1097,2051,1097,2051,1101,2051,1108,2051,1112,2055,1112,2055,1116,2066,1116,2066,1120,2070,1120,2070,1124,2070,1127,2074,1127,2074,1131,2074,1135,2078,1135,2078,1143,2082,1143,2082,1147,2082,1150,2086,1150,2090,1150,2090,1158,2090,1162,2094,1162,2094,1166,2102,1166,2102,1170,2102,1177,2106,1177,2106,1185,2109,1185,2109,1189,2113,1189,2113,1192,2117,1192,2117,1200,2121,1200,2121,1204,2125,1204,2129,1204,2129,1208,2129,1212,2133,1212,2133,1215,2133,1219,2137,1219,2137,1223,2137,1227,2145,1227,2145,1231,2149,1231,2149,1234,2153,1234,2153,1238,2160,1238,2160,1242,2164,1242,2164,1246,2168,1246,2168,1250,2168,1254,2172,1254,2172,1257,2180,1257,2180,1261,2184,1261,2184,1265,2184,1269,2188,1269,2188,1273,2203,1273,2203,1277,2203,1280,2211,1280,2215,1280,2215,1284,2215,1288,2219,1288,2219,1292,2223,1292,2223,1296,2227,1296,2227,1299,2227,1303,2231,1303,2231,1307,2235,1307,2235,1311,2251,1311,2251,1315,2251,1319,2258,1319,2258,1322,2258,1326,2266,1326,2274,1326,2274,1330,2274,1334,2278,1334,2278,1338,2278,1341,2286,1341,2286,1345,2290,1345,2290,1349,2313,1349,2321,1349,2321,1353,2321,1360,2325,1360,2325,1364,2333,1364,2333,1368,2341,1368,2341,1372,2341,1376,2352,1376,2356,1376,2356,1380,2364,1380,2364,1383,2364,1387,2368,1387,2368,1391,2368,1395,2376,1395,2376,1399,2384,1399,2384,1403,2388,1403,2396,1403,2396,1406,2396,1410,2400,1410,2400,1414,2403,1414,2403,1418,2407,1418,2407,1422,2411,1422,2411,1425,2419,1425,2419,1429,2423,1429,2427,1429,2427,1433,2439,1433,2439,1437,2458,1437,2458,1441,2462,1441,2462,1445,2482,1445,2482,1448,2486,1448,2486,1452,2493,1452,2493,1456,2505,1456,2505,1460,2509,1460,2517,1460,2517,1464,2552,1464,2552,1468,2564,1468,2564,1471,2576,1471,2576,1475,2592,1475,2592,1479,2599,1479,2599,1483,2678,1483,2678,1494,2733,1494,2733,1510,2819,1510,2819,1529,2948,1529,2948,1582,3132,1582,3132,1647,3191,1647,3191,1735,3677,1735e" filled="false" stroked="true" strokeweight=".192185pt" strokecolor="#0000ff">
              <v:path arrowok="t"/>
              <v:stroke dashstyle="solid"/>
            </v:shape>
            <v:line style="position:absolute" from="3328,329" to="3438,329" stroked="true" strokeweight=".190395pt" strokecolor="#ff0000">
              <v:stroke dashstyle="solid"/>
            </v:line>
            <v:line style="position:absolute" from="3328,402" to="3438,402" stroked="true" strokeweight=".190395pt" strokecolor="#0000ff">
              <v:stroke dashstyle="solid"/>
            </v:line>
            <v:shape style="position:absolute;left:3269;top:252;width:439;height:222" type="#_x0000_t202" filled="false" stroked="true" strokeweight=".191512pt" strokecolor="#000000">
              <v:textbox inset="0,0,0,0">
                <w:txbxContent>
                  <w:p>
                    <w:pPr>
                      <w:spacing w:line="252" w:lineRule="auto" w:before="45"/>
                      <w:ind w:left="225" w:right="1" w:firstLine="0"/>
                      <w:jc w:val="left"/>
                      <w:rPr>
                        <w:rFonts w:ascii="Arial"/>
                        <w:sz w:val="6"/>
                      </w:rPr>
                    </w:pPr>
                    <w:r>
                      <w:rPr>
                        <w:rFonts w:ascii="Arial"/>
                        <w:w w:val="105"/>
                        <w:sz w:val="6"/>
                      </w:rPr>
                      <w:t>female male</w:t>
                    </w:r>
                  </w:p>
                </w:txbxContent>
              </v:textbox>
              <v:stroke dashstyle="solid"/>
              <w10:wrap type="none"/>
            </v:shape>
            <w10:wrap type="none"/>
          </v:group>
        </w:pict>
      </w:r>
      <w:r>
        <w:rPr/>
        <w:pict>
          <v:shape style="position:absolute;margin-left:72.437843pt;margin-top:44.327793pt;width:5.55pt;height:6.2pt;mso-position-horizontal-relative:page;mso-position-vertical-relative:paragraph;z-index:2248"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0.6</w:t>
                  </w:r>
                </w:p>
              </w:txbxContent>
            </v:textbox>
            <w10:wrap type="none"/>
          </v:shape>
        </w:pict>
      </w:r>
      <w:r>
        <w:rPr/>
        <w:pict>
          <v:shape style="position:absolute;margin-left:72.437843pt;margin-top:26.9466pt;width:5.55pt;height:6.2pt;mso-position-horizontal-relative:page;mso-position-vertical-relative:paragraph;z-index:2272"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0.8</w:t>
                  </w:r>
                </w:p>
              </w:txbxContent>
            </v:textbox>
            <w10:wrap type="none"/>
          </v:shape>
        </w:pict>
      </w:r>
      <w:r>
        <w:rPr/>
        <w:pict>
          <v:shape style="position:absolute;margin-left:72.437843pt;margin-top:9.569214pt;width:5.55pt;height:6.2pt;mso-position-horizontal-relative:page;mso-position-vertical-relative:paragraph;z-index:2296"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1.0</w:t>
                  </w:r>
                </w:p>
              </w:txbxContent>
            </v:textbox>
            <w10:wrap type="none"/>
          </v:shape>
        </w:pict>
      </w:r>
      <w:r>
        <w:rPr>
          <w:rFonts w:ascii="Arial"/>
          <w:b/>
          <w:w w:val="105"/>
          <w:sz w:val="7"/>
        </w:rPr>
        <w:t>Survival functions(sex)</w:t>
      </w:r>
    </w:p>
    <w:p>
      <w:pPr>
        <w:pStyle w:val="BodyText"/>
        <w:spacing w:before="9"/>
        <w:ind w:left="0"/>
        <w:rPr>
          <w:rFonts w:ascii="Arial"/>
          <w:b/>
          <w:sz w:val="8"/>
        </w:rPr>
      </w:pPr>
      <w:r>
        <w:rPr/>
        <w:br w:type="column"/>
      </w:r>
      <w:r>
        <w:rPr>
          <w:rFonts w:ascii="Arial"/>
          <w:b/>
          <w:sz w:val="8"/>
        </w:rPr>
      </w:r>
    </w:p>
    <w:p>
      <w:pPr>
        <w:spacing w:before="0"/>
        <w:ind w:left="1210" w:right="0" w:firstLine="0"/>
        <w:jc w:val="left"/>
        <w:rPr>
          <w:rFonts w:ascii="Arial"/>
          <w:b/>
          <w:sz w:val="7"/>
        </w:rPr>
      </w:pPr>
      <w:r>
        <w:rPr/>
        <w:pict>
          <v:group style="position:absolute;margin-left:210.560837pt;margin-top:9.154954pt;width:107.2pt;height:96.35pt;mso-position-horizontal-relative:page;mso-position-vertical-relative:paragraph;z-index:1144" coordorigin="4211,183" coordsize="2144,1927">
            <v:shape style="position:absolute;left:1381;top:1310;width:11158;height:10031" coordorigin="1382,1310" coordsize="11158,10031" path="m4246,2075l6145,2075m4246,2075l4246,2110m4519,2075l4519,2110m4788,2075l4788,2110m5061,2075l5061,2110m5330,2075l5330,2110m5603,2075l5603,2110m5872,2075l5872,2110m6145,2075l6145,2110m4246,2002l4246,254m4246,2002l4211,2002m4246,1656l4211,1656m4246,1305l4211,1305m4246,955l4211,955m4246,605l4211,605m4246,254l4211,254m4246,2075l6353,2075,6353,185,4246,185,4246,2075e" filled="false" stroked="true" strokeweight=".191905pt" strokecolor="#000000">
              <v:path arrowok="t"/>
              <v:stroke dashstyle="solid"/>
            </v:shape>
            <v:shape style="position:absolute;left:4245;top:254;width:1550;height:1748" coordorigin="4246,254" coordsize="1550,1748" path="m4246,254l4257,254,4257,258,4257,262,4265,262,4265,266,4273,266,4273,270,4273,274,4284,274,4284,277,4288,277,4288,281,4292,281,4292,285,4296,285,4296,289,4296,293,4307,293,4307,297,4307,301,4311,301,4311,304,4315,304,4319,304,4319,308,4319,312,4327,312,4327,316,4327,320,4330,320,4330,324,4334,324,4334,327,4334,331,4338,331,4338,335,4342,335,4342,339,4342,343,4346,343,4346,347,4346,351,4346,354,4350,354,4350,358,4350,362,4354,362,4354,366,4354,370,4354,374,4354,377,4357,377,4357,381,4357,385,4361,385,4361,389,4361,393,4361,397,4365,397,4365,404,4369,404,4369,408,4369,412,4369,416,4369,420,4377,420,4377,424,4377,428,4377,431,4380,431,4380,439,4380,443,4384,443,4384,447,4384,451,4384,454,4388,454,4396,454,4396,458,4396,462,4400,462,4400,466,4400,470,4404,470,4404,478,4404,481,4407,481,4407,485,4407,493,4407,497,4411,497,4411,505,4415,505,4415,508,4419,508,4419,516,4423,516,4423,520,4423,524,4423,528,4427,528,4427,532,4427,535,4430,535,4430,539,4430,543,4434,543,4434,551,4434,555,4434,558,4434,566,4438,566,4438,578,4442,578,4442,581,4446,581,4446,589,4446,593,4446,597,4450,597,4450,601,4453,601,4453,605,4453,608,4453,612,4457,612,4457,616,4457,620,4461,620,4461,624,4461,628,4461,632,4465,632,4465,635,4469,635,4469,639,4469,643,4473,643,4473,647,4477,647,4477,651,4477,655,4480,655,4480,659,4484,659,4484,662,4484,666,4484,670,4488,670,4488,674,4488,678,4492,678,4492,682,4492,685,4492,689,4496,689,4496,693,4503,693,4503,697,4507,697,4507,701,4511,701,4511,705,4515,705,4515,709,4515,712,4515,716,4519,716,4519,720,4523,720,4523,724,4526,724,4526,728,4526,732,4526,736,4530,736,4530,739,4534,739,4534,743,4538,743,4538,747,4538,751,4538,755,4542,755,4542,759,4542,762,4546,762,4546,766,4546,770,4546,774,4550,774,4550,778,4553,778,4553,782,4557,782,4557,789,4557,793,4557,797,4565,797,4565,801,4565,805,4569,805,4569,809,4573,809,4573,813,4573,816,4576,816,4576,820,4576,824,4580,824,4580,828,4584,828,4584,832,4584,836,4584,839,4584,843,4584,847,4596,847,4596,851,4596,855,4600,855,4600,859,4603,859,4603,863,4607,863,4607,866,4607,866,4607,870,4607,874,4607,878,4611,878,4611,882,4611,886,4615,886,4615,889,4615,893,4619,893,4619,897,4623,897,4623,901,4626,901,4626,905,4626,909,4630,909,4630,913,4630,916,4634,916,4634,920,4634,924,4634,928,4634,932,4638,932,4638,936,4642,936,4642,940,4646,940,4646,943,4646,947,4646,951,4650,951,4650,959,4650,963,4650,970,4653,970,4653,974,4657,974,4657,978,4657,982,4661,982,4661,986,4661,990,4665,990,4665,993,4669,993,4669,997,4669,1001,4669,1005,4673,1005,4673,1009,4676,1009,4676,1013,4676,1017,4680,1017,4680,1020,4688,1020,4688,1024,4696,1024,4696,1028,4696,1032,4699,1032,4699,1036,4703,1036,4703,1040,4703,1044,4711,1044,4711,1047,4715,1047,4715,1051,4723,1051,4723,1055,4726,1055,4726,1059,4726,1070,4730,1070,4730,1078,4738,1078,4738,1082,4742,1082,4742,1086,4742,1090,4742,1094,4746,1094,4746,1097,4749,1097,4749,1101,4753,1101,4753,1105,4753,1109,4757,1109,4757,1113,4757,1117,4757,1120,4761,1120,4761,1128,4773,1128,4773,1132,4773,1136,4780,1136,4780,1140,4784,1140,4784,1144,4792,1144,4792,1147,4799,1147,4799,1151,4807,1151,4807,1155,4807,1163,4811,1163,4811,1167,4811,1171,4815,1171,4815,1174,4826,1174,4826,1178,4826,1182,4834,1182,4834,1186,4838,1186,4838,1190,4838,1194,4846,1194,4846,1197,4849,1197,4849,1205,4849,1209,4853,1209,4853,1213,4853,1217,4857,1217,4857,1221,4869,1221,4869,1228,4872,1228,4872,1232,4880,1232,4880,1236,4892,1236,4892,1240,4896,1240,4896,1244,4896,1248,4899,1248,4899,1259,4899,1263,4919,1263,4919,1267,4919,1271,4926,1271,4926,1275,4934,1275,4934,1278,4942,1278,4942,1282,4942,1290,4945,1290,4945,1294,4961,1294,4961,1298,4969,1298,4969,1301,4984,1301,4984,1305,4988,1305,4988,1309,4995,1309,4995,1317,5007,1317,5007,1321,5015,1321,5015,1324,5019,1324,5019,1328,5022,1328,5022,1332,5022,1336,5026,1336,5026,1344,5038,1344,5038,1348,5038,1352,5045,1352,5045,1355,5049,1355,5049,1359,5049,1363,5049,1367,5057,1367,5057,1371,5076,1371,5076,1375,5099,1375,5099,1378,5103,1378,5103,1382,5107,1382,5107,1386,5111,1386,5111,1394,5118,1394,5118,1398,5122,1398,5122,1402,5134,1402,5134,1405,5153,1405,5153,1409,5153,1413,5180,1413,5180,1417,5192,1417,5192,1421,5207,1421,5207,1428,5215,1428,5215,1436,5291,1436,5291,1452,5322,1452,5322,1467,5345,1467,5345,1486,5795,1486,5795,2002e" filled="false" stroked="true" strokeweight=".191906pt" strokecolor="#ff0000">
              <v:path arrowok="t"/>
              <v:stroke dashstyle="solid"/>
            </v:shape>
            <v:shape style="position:absolute;left:4245;top:254;width:2026;height:1552" coordorigin="4246,254" coordsize="2026,1552" path="m4246,254l4254,254,4254,258,4257,258,4257,262,4261,262,4261,266,4261,270,4269,270,4277,270,4277,274,4284,274,4284,277,4288,277,4288,281,4288,285,4292,285,4292,289,4292,293,4296,293,4296,297,4300,297,4300,301,4300,308,4300,312,4304,312,4304,320,4311,320,4311,324,4311,327,4315,327,4315,331,4315,335,4315,339,4315,347,4319,347,4319,351,4319,354,4323,354,4323,358,4323,366,4323,370,4327,370,4327,374,4327,377,4327,381,4327,385,4327,389,4330,389,4330,393,4334,393,4334,397,4334,401,4338,401,4338,404,4338,408,4338,412,4346,412,4346,416,4346,420,4346,424,4346,428,4350,428,4350,431,4350,439,4350,443,4350,447,4350,451,4354,451,4354,458,4357,458,4357,462,4361,462,4361,466,4361,470,4369,470,4369,474,4369,478,4373,478,4373,481,4377,481,4377,489,4380,489,4380,493,4380,493,4380,497,4380,501,4380,508,4380,512,4384,512,4384,516,4384,520,4388,520,4388,524,4388,528,4392,528,4392,535,4392,539,4392,547,4392,551,4396,551,4396,558,4396,566,4396,570,4400,570,4400,574,4400,578,4404,578,4404,581,4404,585,4404,589,4407,589,4407,593,4407,597,4411,597,4411,601,4415,601,4415,605,4419,605,4419,608,4419,612,4423,612,4423,616,4423,620,4423,624,4427,624,4427,628,4427,632,4430,632,4430,635,4434,635,4434,639,4438,639,4438,651,4442,651,4442,655,4442,659,4446,659,4446,662,4446,666,4446,682,4450,682,4450,685,4453,685,4453,689,4457,689,4457,693,4457,697,4461,697,4461,701,4461,705,4461,709,4465,709,4465,712,4465,720,4465,724,4469,724,4469,728,4469,732,4469,736,4469,739,4477,739,4477,743,4477,747,4480,747,4480,751,4480,755,4484,755,4484,759,4484,762,4484,766,4488,766,4488,774,4488,778,4488,782,4492,782,4492,786,4492,789,4496,789,4496,793,4500,793,4500,797,4500,801,4503,801,4503,805,4503,809,4507,809,4507,813,4507,816,4507,824,4511,824,4511,828,4515,828,4515,832,4515,836,4519,836,4519,843,4523,843,4523,851,4526,851,4526,859,4526,870,4530,870,4530,874,4530,878,4530,882,4534,882,4534,886,4534,889,4538,889,4538,897,4542,897,4542,901,4542,909,4546,909,4546,913,4546,916,4550,916,4550,920,4553,920,4553,924,4553,928,4557,928,4557,932,4561,932,4561,936,4565,936,4565,940,4569,940,4569,943,4573,943,4573,947,4576,947,4576,951,4576,951,4576,955,4576,963,4576,967,4576,970,4580,970,4580,974,4584,974,4584,978,4588,978,4588,982,4588,986,4592,986,4592,990,4592,993,4607,993,4607,997,4611,997,4611,1001,4611,1005,4619,1005,4619,1013,4623,1013,4623,1020,4623,1024,4623,1028,4626,1028,4626,1032,4626,1036,4630,1036,4630,1040,4630,1044,4638,1044,4638,1047,4642,1047,4642,1051,4646,1051,4646,1059,4646,1063,4650,1063,4650,1067,4650,1070,4653,1070,4653,1074,4653,1078,4653,1082,4661,1082,4661,1086,4665,1086,4665,1090,4665,1094,4669,1094,4669,1101,4673,1101,4673,1105,4676,1105,4676,1109,4676,1117,4676,1120,4680,1120,4680,1124,4688,1124,4688,1128,4692,1128,4692,1132,4692,1136,4696,1136,4696,1144,4696,1147,4696,1151,4699,1151,4699,1155,4699,1159,4703,1159,4703,1163,4707,1163,4707,1167,4707,1171,4711,1171,4711,1178,4715,1178,4715,1182,4715,1186,4719,1186,4719,1190,4719,1194,4734,1194,4734,1201,4742,1201,4742,1205,4746,1205,4746,1213,4757,1213,4757,1217,4761,1217,4761,1221,4761,1224,4765,1224,4765,1228,4769,1228,4769,1232,4776,1232,4776,1236,4784,1236,4784,1240,4788,1240,4788,1248,4792,1248,4792,1251,4796,1251,4796,1255,4803,1255,4803,1259,4803,1263,4811,1263,4811,1267,4815,1267,4815,1271,4815,1278,4826,1278,4826,1282,4830,1282,4830,1286,4838,1286,4838,1290,4838,1294,4842,1294,4842,1298,4846,1298,4846,1301,4857,1301,4857,1309,4861,1309,4861,1313,4865,1313,4865,1317,4869,1317,4869,1321,4869,1324,4872,1324,4872,1328,4880,1328,4880,1336,4884,1336,4884,1340,4884,1344,4888,1344,4888,1348,4896,1348,4896,1352,4907,1352,4907,1355,4911,1355,4911,1363,4922,1363,4922,1367,4934,1367,4934,1371,4942,1371,4942,1375,4949,1375,4949,1378,4953,1378,4953,1386,4961,1386,4961,1390,4961,1394,4972,1394,4972,1398,4976,1398,4976,1402,4980,1402,4980,1409,4984,1409,4984,1413,4988,1413,4988,1417,5003,1417,5003,1421,5015,1421,5015,1425,5019,1425,5019,1428,5030,1428,5030,1436,5042,1436,5042,1440,5080,1440,5080,1444,5111,1444,5111,1448,5122,1448,5122,1452,5126,1452,5126,1459,5168,1459,5168,1463,5180,1463,5180,1467,5188,1467,5188,1471,5192,1471,5192,1479,5203,1479,5203,1482,5341,1482,5341,1498,5364,1498,5364,1513,5430,1513,5430,1532,5557,1532,5557,1586,5699,1586,5699,1644,5737,1644,5737,1706,5999,1706,5999,1806,6272,1806e" filled="false" stroked="true" strokeweight=".191902pt" strokecolor="#0000ff">
              <v:path arrowok="t"/>
              <v:stroke dashstyle="solid"/>
            </v:shape>
            <v:line style="position:absolute" from="5818,331" to="5930,331" stroked="true" strokeweight=".191896pt" strokecolor="#ff0000">
              <v:stroke dashstyle="solid"/>
            </v:line>
            <v:line style="position:absolute" from="5818,404" to="5930,404" stroked="true" strokeweight=".191896pt" strokecolor="#0000ff">
              <v:stroke dashstyle="solid"/>
            </v:line>
            <v:shape style="position:absolute;left:5764;top:254;width:550;height:224" type="#_x0000_t202" filled="false" stroked="true" strokeweight=".191898pt" strokecolor="#000000">
              <v:textbox inset="0,0,0,0">
                <w:txbxContent>
                  <w:p>
                    <w:pPr>
                      <w:spacing w:before="45"/>
                      <w:ind w:left="221" w:right="0" w:firstLine="0"/>
                      <w:jc w:val="left"/>
                      <w:rPr>
                        <w:rFonts w:ascii="Arial"/>
                        <w:sz w:val="6"/>
                      </w:rPr>
                    </w:pPr>
                    <w:r>
                      <w:rPr>
                        <w:rFonts w:ascii="Arial"/>
                        <w:sz w:val="6"/>
                      </w:rPr>
                      <w:t>&lt;65</w:t>
                    </w:r>
                    <w:r>
                      <w:rPr>
                        <w:rFonts w:ascii="Arial"/>
                        <w:spacing w:val="-3"/>
                        <w:sz w:val="6"/>
                      </w:rPr>
                      <w:t> </w:t>
                    </w:r>
                    <w:r>
                      <w:rPr>
                        <w:rFonts w:ascii="Arial"/>
                        <w:sz w:val="6"/>
                      </w:rPr>
                      <w:t>years</w:t>
                    </w:r>
                  </w:p>
                  <w:p>
                    <w:pPr>
                      <w:spacing w:before="5"/>
                      <w:ind w:left="221" w:right="0" w:firstLine="0"/>
                      <w:jc w:val="left"/>
                      <w:rPr>
                        <w:rFonts w:ascii="Arial"/>
                        <w:sz w:val="6"/>
                      </w:rPr>
                    </w:pPr>
                    <w:r>
                      <w:rPr>
                        <w:rFonts w:ascii="Arial"/>
                        <w:sz w:val="6"/>
                      </w:rPr>
                      <w:t>&gt;=65</w:t>
                    </w:r>
                    <w:r>
                      <w:rPr>
                        <w:rFonts w:ascii="Arial"/>
                        <w:spacing w:val="-4"/>
                        <w:sz w:val="6"/>
                      </w:rPr>
                      <w:t> </w:t>
                    </w:r>
                    <w:r>
                      <w:rPr>
                        <w:rFonts w:ascii="Arial"/>
                        <w:sz w:val="6"/>
                      </w:rPr>
                      <w:t>years</w:t>
                    </w:r>
                  </w:p>
                </w:txbxContent>
              </v:textbox>
              <v:stroke dashstyle="solid"/>
              <w10:wrap type="none"/>
            </v:shape>
            <w10:wrap type="none"/>
          </v:group>
        </w:pict>
      </w:r>
      <w:r>
        <w:rPr/>
        <w:pict>
          <v:shape style="position:absolute;margin-left:204.282043pt;margin-top:9.626638pt;width:5.45pt;height:6.25pt;mso-position-horizontal-relative:page;mso-position-vertical-relative:paragraph;z-index:280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1.0</w:t>
                  </w:r>
                </w:p>
              </w:txbxContent>
            </v:textbox>
            <w10:wrap type="none"/>
          </v:shape>
        </w:pict>
      </w:r>
      <w:r>
        <w:rPr>
          <w:rFonts w:ascii="Arial"/>
          <w:b/>
          <w:w w:val="105"/>
          <w:sz w:val="7"/>
        </w:rPr>
        <w:t>Survival functions(age)</w:t>
      </w:r>
    </w:p>
    <w:p>
      <w:pPr>
        <w:pStyle w:val="BodyText"/>
        <w:spacing w:before="2"/>
        <w:ind w:left="0"/>
        <w:rPr>
          <w:rFonts w:ascii="Arial"/>
          <w:b/>
          <w:sz w:val="11"/>
        </w:rPr>
      </w:pPr>
      <w:r>
        <w:rPr/>
        <w:br w:type="column"/>
      </w:r>
      <w:r>
        <w:rPr>
          <w:rFonts w:ascii="Arial"/>
          <w:b/>
          <w:sz w:val="11"/>
        </w:rPr>
      </w:r>
    </w:p>
    <w:p>
      <w:pPr>
        <w:spacing w:before="0"/>
        <w:ind w:left="1210" w:right="0" w:firstLine="0"/>
        <w:jc w:val="left"/>
        <w:rPr>
          <w:rFonts w:ascii="Arial"/>
          <w:b/>
          <w:sz w:val="7"/>
        </w:rPr>
      </w:pPr>
      <w:r>
        <w:rPr/>
        <w:pict>
          <v:group style="position:absolute;margin-left:340.785858pt;margin-top:9.083118pt;width:113.05pt;height:95.25pt;mso-position-horizontal-relative:page;mso-position-vertical-relative:paragraph;z-index:1192" coordorigin="6816,182" coordsize="2261,1905">
            <v:shape style="position:absolute;left:1381;top:1282;width:11158;height:10031" coordorigin="1382,1282" coordsize="11158,10031" path="m6852,2052l8855,2052m6852,2052l6852,2086m7140,2052l7140,2086m7424,2052l7424,2086m7712,2052l7712,2086m7996,2052l7996,2086m8283,2052l8283,2086m8567,2052l8567,2086m8855,2052l8855,2086m6852,1979l6852,252m6852,1979l6816,1979m6852,1637l6816,1637m6852,1291l6816,1291m6852,944l6816,944m6852,598l6816,598m6852,252l6816,252m6852,2052l9074,2052,9074,184,6852,184,6852,2052e" filled="false" stroked="true" strokeweight=".196023pt" strokecolor="#000000">
              <v:path arrowok="t"/>
              <v:stroke dashstyle="solid"/>
            </v:shape>
            <v:shape style="position:absolute;left:6852;top:252;width:1849;height:1728" coordorigin="6852,252" coordsize="1849,1728" path="m6852,252l6872,252,6872,267,6958,267,6958,279,7027,279,7027,294,7104,294,7104,305,7164,305,7164,321,7250,321,7250,336,7254,336,7254,351,7278,351,7278,362,7298,362,7298,378,7339,378,7339,393,7347,393,7347,408,7391,408,7391,423,7400,423,7400,438,7485,438,7485,454,7485,469,7505,469,7505,484,7509,484,7509,499,7529,499,7529,515,7542,515,7542,530,7586,530,7586,545,7598,545,7598,560,7606,560,7606,575,7643,575,7643,591,7663,591,7663,606,7667,606,7667,621,7732,621,7732,636,7781,636,7781,652,7850,652,7850,667,7862,667,7862,686,7874,686,7874,701,8008,701,8008,762,8012,762,8012,823,8235,823,8235,986,8486,986,8486,1237,8701,1237,8701,1979e" filled="false" stroked="true" strokeweight=".19559pt" strokecolor="#ff0000">
              <v:path arrowok="t"/>
              <v:stroke dashstyle="solid"/>
            </v:shape>
            <v:shape style="position:absolute;left:6852;top:252;width:1630;height:1089" coordorigin="6852,252" coordsize="1630,1089" path="m6852,252l6897,252,6897,267,6913,267,6913,279,6962,279,6962,294,6990,294,6990,305,6994,305,6994,321,7002,321,7002,332,7063,332,7063,347,7083,347,7083,359,7108,359,7108,374,7112,374,7112,389,7116,389,7116,404,7128,404,7128,419,7144,419,7144,431,7148,431,7148,461,7152,461,7152,477,7160,477,7160,492,7168,492,7168,507,7181,507,7181,522,7189,522,7189,537,7193,537,7193,553,7201,553,7201,564,7209,564,7209,579,7233,579,7233,595,7250,595,7250,610,7250,625,7258,625,7258,644,7262,644,7262,659,7262,674,7266,674,7266,690,7270,690,7270,705,7274,705,7274,720,7274,735,7302,735,7302,750,7306,750,7306,770,7310,770,7310,785,7318,785,7318,800,7323,800,7323,815,7335,815,7335,830,7351,830,7351,849,7359,849,7359,865,7359,880,7375,880,7375,895,7391,895,7391,914,7408,914,7408,929,7412,929,7412,944,7420,944,7420,964,7489,964,7489,979,7489,994,7493,994,7493,1013,7521,1013,7521,1028,7533,1028,7533,1043,7554,1043,7554,1062,7586,1062,7586,1078,7671,1078,7671,1097,7700,1097,7700,1112,7700,1127,7752,1127,7752,1146,7756,1146,7756,1161,7809,1161,7809,1180,7955,1180,7955,1245,8101,1245,8101,1340,8482,1340e" filled="false" stroked="true" strokeweight=".193576pt" strokecolor="#0000ff">
              <v:path arrowok="t"/>
              <v:stroke dashstyle="solid"/>
            </v:shape>
            <v:shape style="position:absolute;left:6852;top:252;width:2137;height:1572" coordorigin="6852,252" coordsize="2137,1572" path="m6852,252l6864,252,6864,260,6897,260,6897,263,6909,263,6909,267,6913,267,6913,271,6921,271,6921,279,6925,279,6925,283,6925,286,6937,286,6937,294,6937,298,6937,305,6937,309,6950,309,6950,321,6958,321,6958,324,6962,324,6962,328,6962,328,6962,336,6962,340,6962,347,6978,347,6978,351,6982,351,6982,359,6982,362,6986,362,6986,366,6994,366,6994,374,6994,378,6994,385,7006,385,7006,389,7006,397,7010,397,7010,400,7019,400,7019,408,7019,412,7023,412,7023,419,7027,419,7027,423,7031,423,7031,431,7035,431,7035,435,7035,446,7035,454,7039,454,7039,465,7039,469,7043,469,7043,477,7043,484,7043,488,7047,488,7047,496,7047,499,7051,499,7051,507,7051,511,7051,518,7051,522,7055,522,7055,534,7055,541,7059,541,7059,549,7063,549,7063,560,7063,572,7067,572,7067,575,7075,575,7075,583,7075,587,7079,587,7079,595,7079,598,7079,606,7083,606,7083,613,7087,613,7087,617,7087,625,7091,625,7091,629,7096,629,7096,640,7100,640,7100,648,7104,648,7104,655,7104,667,7108,667,7108,671,7108,678,7112,678,7112,686,7112,690,7116,690,7116,697,7124,697,7124,701,7124,709,7128,709,7128,716,7136,716,7136,720,7136,728,7136,735,7136,739,7148,739,7148,747,7152,747,7152,750,7152,758,7156,758,7156,766,7156,770,7160,770,7160,777,7160,785,7164,785,7164,789,7168,789,7168,804,7173,804,7173,808,7177,808,7177,815,7181,815,7181,823,7189,823,7189,827,7193,827,7193,834,7197,834,7197,842,7201,842,7201,846,7205,846,7205,853,7209,853,7209,861,7209,865,7213,865,7213,872,7213,880,7217,880,7217,887,7229,887,7229,891,7233,891,7233,899,7233,906,7233,910,7237,910,7237,918,7237,925,7241,925,7241,933,7246,933,7246,937,7254,937,7254,944,7258,944,7258,952,7270,952,7270,956,7274,956,7274,964,7274,971,7278,971,7278,979,7278,983,7290,983,7290,990,7290,998,7294,998,7294,1005,7294,1009,7298,1009,7298,1017,7306,1017,7306,1024,7306,1032,7310,1032,7310,1040,7318,1040,7318,1043,7327,1043,7327,1051,7327,1059,7327,1066,7331,1066,7331,1074,7331,1078,7335,1078,7335,1085,7347,1085,7347,1093,7351,1093,7351,1100,7363,1100,7363,1108,7375,1108,7375,1112,7379,1112,7379,1119,7383,1119,7383,1127,7387,1127,7387,1135,7391,1135,7391,1142,7391,1150,7395,1150,7395,1154,7404,1154,7404,1161,7408,1161,7408,1169,7428,1169,7428,1177,7432,1177,7432,1184,7440,1184,7440,1192,7452,1192,7452,1196,7464,1196,7464,1211,7477,1211,7477,1218,7481,1218,7481,1226,7489,1226,7489,1234,7497,1234,7497,1241,7509,1241,7509,1249,7513,1249,7513,1257,7521,1257,7521,1260,7537,1260,7537,1268,7537,1276,7542,1276,7542,1283,7550,1283,7550,1291,7562,1291,7562,1298,7562,1306,7566,1306,7566,1314,7570,1314,7570,1321,7586,1321,7586,1329,7590,1329,7590,1336,7619,1336,7619,1344,7631,1344,7631,1352,7635,1352,7635,1355,7635,1363,7651,1363,7651,1371,7671,1371,7671,1378,7675,1378,7675,1386,7679,1386,7679,1393,7687,1393,7687,1401,7687,1409,7691,1409,7691,1416,7696,1416,7696,1424,7700,1424,7700,1432,7728,1432,7728,1439,7760,1439,7760,1447,7764,1447,7764,1454,7773,1454,7773,1462,7777,1462,7777,1470,7789,1470,7789,1477,7809,1477,7809,1485,7825,1485,7825,1492,7846,1492,7846,1500,7850,1500,7850,1508,8385,1508,8385,1667,8425,1667,8425,1823,8989,1823e" filled="false" stroked="true" strokeweight=".194121pt" strokecolor="#ff00ff">
              <v:path arrowok="t"/>
              <v:stroke dashstyle="solid"/>
            </v:shape>
            <v:shape style="position:absolute;left:6852;top:252;width:2015;height:1492" coordorigin="6852,252" coordsize="2015,1492" path="m6852,252l6860,252,6860,256,6864,256,6864,260,6864,263,6868,263,6868,267,6868,271,6872,271,6872,275,6877,275,6877,279,6881,279,6881,283,6885,283,6885,286,6893,286,6893,290,6893,294,6897,294,6897,298,6897,302,6901,302,6901,305,6901,309,6901,313,6905,313,6905,317,6905,328,6905,332,6909,332,6909,336,6909,340,6909,343,6917,343,6917,347,6921,347,6921,351,6921,355,6925,355,6925,362,6925,366,6925,370,6925,374,6929,374,6929,378,6929,381,6929,385,6929,389,6933,389,6933,393,6933,400,6933,404,6937,404,6937,412,6937,416,6937,419,6937,423,6941,423,6941,427,6941,431,6945,431,6945,435,6945,438,6945,442,6945,446,6950,446,6950,450,6950,454,6950,457,6954,457,6954,461,6954,465,6958,465,6958,469,6958,473,6958,477,6958,480,6958,484,6962,484,6962,496,6962,499,6962,503,6966,503,6966,507,6966,518,6966,522,6966,530,6966,534,6970,534,6970,537,6970,541,6970,545,6974,545,6974,549,6974,556,6974,560,6974,564,6974,568,6978,568,6978,572,6982,572,6982,575,6982,579,6982,587,6982,591,6990,591,6990,602,6990,606,6994,606,6994,617,6994,621,6994,629,6994,632,6998,632,6998,636,6998,644,6998,652,7002,652,7002,655,7002,659,7002,663,7006,663,7006,671,7006,674,7006,678,7010,678,7010,682,7010,693,7010,697,7010,701,7010,705,7014,705,7014,709,7014,712,7014,720,7019,720,7019,728,7019,731,7019,735,7019,739,7023,739,7023,747,7023,754,7023,758,7023,762,7027,762,7027,766,7027,770,7031,770,7031,773,7039,773,7039,777,7039,781,7039,785,7043,785,7043,789,7047,789,7047,796,7047,800,7051,800,7051,808,7051,811,7055,811,7055,819,7055,827,7059,827,7059,834,7059,838,7063,838,7063,849,7063,857,7063,861,7067,861,7067,865,7071,865,7071,872,7071,880,7071,884,7075,884,7075,887,7075,891,7079,891,7079,895,7079,899,7079,903,7083,903,7083,910,7083,914,7083,918,7083,922,7087,922,7087,925,7087,929,7087,933,7087,937,7096,937,7096,941,7096,948,7100,948,7100,952,7100,956,7104,956,7104,960,7104,964,7104,967,7108,967,7108,971,7108,979,7112,979,7112,983,7112,986,7120,986,7120,990,7120,994,7124,994,7124,998,7128,998,7128,1002,7128,1013,7132,1013,7132,1017,7132,1021,7136,1021,7136,1024,7140,1024,7140,1028,7140,1032,7144,1032,7144,1040,7144,1043,7144,1047,7148,1047,7148,1051,7148,1055,7148,1059,7148,1066,7148,1070,7152,1070,7152,1074,7156,1074,7156,1078,7160,1078,7160,1081,7160,1085,7164,1085,7164,1089,7164,1097,7168,1097,7168,1104,7173,1104,7173,1108,7173,1112,7177,1112,7177,1116,7177,1123,7181,1123,7181,1127,7181,1131,7181,1135,7185,1135,7185,1139,7189,1139,7189,1142,7197,1142,7197,1150,7197,1154,7201,1154,7201,1161,7201,1165,7201,1173,7201,1177,7205,1177,7205,1180,7209,1180,7209,1184,7209,1188,7209,1192,7217,1192,7217,1199,7221,1199,7221,1203,7221,1207,7225,1207,7225,1211,7233,1211,7233,1215,7237,1215,7237,1218,7237,1226,7241,1226,7241,1230,7241,1234,7246,1234,7246,1237,7250,1237,7250,1241,7250,1249,7254,1249,7254,1253,7254,1257,7258,1257,7258,1264,7262,1264,7262,1268,7262,1276,7266,1276,7266,1279,7274,1279,7274,1283,7278,1283,7278,1287,7278,1287,7278,1291,7278,1298,7278,1302,7282,1302,7282,1306,7282,1310,7282,1314,7282,1321,7286,1321,7286,1325,7286,1329,7290,1329,7290,1333,7294,1333,7294,1340,7298,1340,7298,1348,7302,1348,7302,1352,7306,1352,7306,1355,7306,1363,7306,1367,7323,1367,7323,1371,7327,1371,7327,1374,7327,1378,7331,1378,7331,1386,7335,1386,7335,1390,7339,1390,7339,1393,7343,1393,7343,1397,7343,1401,7347,1401,7347,1409,7355,1409,7355,1412,7359,1412,7359,1416,7363,1416,7363,1420,7367,1420,7367,1432,7371,1432,7371,1435,7375,1435,7375,1439,7375,1443,7379,1443,7379,1451,7387,1451,7387,1454,7395,1454,7395,1458,7395,1462,7395,1470,7416,1470,7416,1473,7420,1473,7420,1477,7424,1477,7424,1481,7428,1481,7428,1489,7436,1489,7436,1492,7440,1492,7440,1496,7444,1496,7444,1500,7444,1508,7448,1508,7448,1511,7448,1515,7448,1519,7452,1519,7452,1523,7452,1530,7464,1530,7464,1534,7469,1534,7469,1538,7473,1538,7473,1542,7477,1542,7477,1549,7477,1553,7477,1557,7493,1557,7493,1565,7497,1565,7497,1568,7501,1568,7501,1572,7509,1572,7509,1576,7513,1576,7513,1584,7525,1584,7525,1587,7525,1591,7537,1591,7537,1595,7542,1595,7542,1606,7578,1606,7578,1610,7578,1618,7594,1618,7594,1622,7606,1622,7606,1626,7606,1629,7614,1629,7614,1637,7623,1637,7623,1641,7627,1641,7627,1645,7631,1645,7631,1652,7643,1652,7643,1656,7655,1656,7655,1660,7663,1660,7663,1664,7667,1664,7667,1671,7708,1671,7708,1675,7764,1675,7764,1679,7777,1679,7777,1686,7837,1686,7837,1690,7837,1694,7866,1694,7866,1705,7987,1705,7987,1721,8032,1721,8032,1744,8867,1744e" filled="false" stroked="true" strokeweight=".194158pt" strokecolor="#bdbdbd">
              <v:path arrowok="t"/>
              <v:stroke dashstyle="solid"/>
            </v:shape>
            <v:line style="position:absolute" from="8511,328" to="8628,328" stroked="true" strokeweight=".18964pt" strokecolor="#ff0000">
              <v:stroke dashstyle="solid"/>
            </v:line>
            <v:line style="position:absolute" from="8511,400" to="8628,400" stroked="true" strokeweight=".18964pt" strokecolor="#0000ff">
              <v:stroke dashstyle="solid"/>
            </v:line>
            <v:line style="position:absolute" from="8511,473" to="8628,473" stroked="true" strokeweight=".18964pt" strokecolor="#ff00ff">
              <v:stroke dashstyle="solid"/>
            </v:line>
            <v:line style="position:absolute" from="8511,545" to="8628,545" stroked="true" strokeweight=".18964pt" strokecolor="#bdbdbd">
              <v:stroke dashstyle="solid"/>
            </v:line>
            <v:shape style="position:absolute;left:8453;top:252;width:495;height:370" type="#_x0000_t202" filled="false" stroked="true" strokeweight=".194593pt" strokecolor="#000000">
              <v:textbox inset="0,0,0,0">
                <w:txbxContent>
                  <w:p>
                    <w:pPr>
                      <w:spacing w:line="256" w:lineRule="auto" w:before="44"/>
                      <w:ind w:left="233" w:right="25" w:firstLine="0"/>
                      <w:jc w:val="both"/>
                      <w:rPr>
                        <w:rFonts w:ascii="Arial"/>
                        <w:sz w:val="6"/>
                      </w:rPr>
                    </w:pPr>
                    <w:r>
                      <w:rPr>
                        <w:rFonts w:ascii="Arial"/>
                        <w:w w:val="110"/>
                        <w:sz w:val="6"/>
                      </w:rPr>
                      <w:t>stage I stage </w:t>
                    </w:r>
                    <w:r>
                      <w:rPr>
                        <w:rFonts w:ascii="Arial"/>
                        <w:spacing w:val="-3"/>
                        <w:w w:val="110"/>
                        <w:sz w:val="6"/>
                      </w:rPr>
                      <w:t>II </w:t>
                    </w:r>
                    <w:r>
                      <w:rPr>
                        <w:rFonts w:ascii="Arial"/>
                        <w:w w:val="110"/>
                        <w:sz w:val="6"/>
                      </w:rPr>
                      <w:t>stage </w:t>
                    </w:r>
                    <w:r>
                      <w:rPr>
                        <w:rFonts w:ascii="Arial"/>
                        <w:spacing w:val="-4"/>
                        <w:w w:val="110"/>
                        <w:sz w:val="6"/>
                      </w:rPr>
                      <w:t>III </w:t>
                    </w:r>
                    <w:r>
                      <w:rPr>
                        <w:rFonts w:ascii="Arial"/>
                        <w:w w:val="110"/>
                        <w:sz w:val="6"/>
                      </w:rPr>
                      <w:t>stage </w:t>
                    </w:r>
                    <w:r>
                      <w:rPr>
                        <w:rFonts w:ascii="Arial"/>
                        <w:spacing w:val="-15"/>
                        <w:w w:val="110"/>
                        <w:sz w:val="6"/>
                      </w:rPr>
                      <w:t>IV</w:t>
                    </w:r>
                  </w:p>
                </w:txbxContent>
              </v:textbox>
              <v:stroke dashstyle="solid"/>
              <w10:wrap type="none"/>
            </v:shape>
            <w10:wrap type="none"/>
          </v:group>
        </w:pict>
      </w:r>
      <w:r>
        <w:rPr/>
        <w:pict>
          <v:shape style="position:absolute;margin-left:196.975128pt;margin-top:45.082611pt;width:5.45pt;height:19.8pt;mso-position-horizontal-relative:page;mso-position-vertical-relative:paragraph;z-index:2632"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Cum survival</w:t>
                  </w:r>
                </w:p>
              </w:txbxContent>
            </v:textbox>
            <w10:wrap type="none"/>
          </v:shape>
        </w:pict>
      </w:r>
      <w:r>
        <w:rPr/>
        <w:pict>
          <v:shape style="position:absolute;margin-left:204.282043pt;margin-top:43.260746pt;width:5.45pt;height:6.25pt;mso-position-horizontal-relative:page;mso-position-vertical-relative:paragraph;z-index:2752"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0.6</w:t>
                  </w:r>
                </w:p>
              </w:txbxContent>
            </v:textbox>
            <w10:wrap type="none"/>
          </v:shape>
        </w:pict>
      </w:r>
      <w:r>
        <w:rPr/>
        <w:pict>
          <v:shape style="position:absolute;margin-left:204.282043pt;margin-top:25.742586pt;width:5.45pt;height:6.25pt;mso-position-horizontal-relative:page;mso-position-vertical-relative:paragraph;z-index:277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0.8</w:t>
                  </w:r>
                </w:p>
              </w:txbxContent>
            </v:textbox>
            <w10:wrap type="none"/>
          </v:shape>
        </w:pict>
      </w:r>
      <w:r>
        <w:rPr/>
        <w:pict>
          <v:shape style="position:absolute;margin-left:334.218475pt;margin-top:44.160984pt;width:5.65pt;height:6.2pt;mso-position-horizontal-relative:page;mso-position-vertical-relative:paragraph;z-index:3424"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0.6</w:t>
                  </w:r>
                </w:p>
              </w:txbxContent>
            </v:textbox>
            <w10:wrap type="none"/>
          </v:shape>
        </w:pict>
      </w:r>
      <w:r>
        <w:rPr/>
        <w:pict>
          <v:shape style="position:absolute;margin-left:334.218475pt;margin-top:26.848768pt;width:5.65pt;height:6.2pt;mso-position-horizontal-relative:page;mso-position-vertical-relative:paragraph;z-index:3448"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0.8</w:t>
                  </w:r>
                </w:p>
              </w:txbxContent>
            </v:textbox>
            <w10:wrap type="none"/>
          </v:shape>
        </w:pict>
      </w:r>
      <w:r>
        <w:rPr/>
        <w:pict>
          <v:shape style="position:absolute;margin-left:334.218475pt;margin-top:9.540344pt;width:5.65pt;height:6.2pt;mso-position-horizontal-relative:page;mso-position-vertical-relative:paragraph;z-index:3472"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1.0</w:t>
                  </w:r>
                </w:p>
              </w:txbxContent>
            </v:textbox>
            <w10:wrap type="none"/>
          </v:shape>
        </w:pict>
      </w:r>
      <w:r>
        <w:rPr>
          <w:rFonts w:ascii="Arial"/>
          <w:b/>
          <w:w w:val="110"/>
          <w:sz w:val="7"/>
        </w:rPr>
        <w:t>Survival functions(TNM staging)</w:t>
      </w:r>
    </w:p>
    <w:p>
      <w:pPr>
        <w:spacing w:after="0"/>
        <w:jc w:val="left"/>
        <w:rPr>
          <w:rFonts w:ascii="Arial"/>
          <w:sz w:val="7"/>
        </w:rPr>
        <w:sectPr>
          <w:type w:val="continuous"/>
          <w:pgSz w:w="11910" w:h="16850"/>
          <w:pgMar w:top="1080" w:bottom="1020" w:left="1060" w:right="0"/>
          <w:cols w:num="3" w:equalWidth="0">
            <w:col w:w="2085" w:space="532"/>
            <w:col w:w="2073" w:space="403"/>
            <w:col w:w="5757"/>
          </w:cols>
        </w:sect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spacing w:before="3"/>
        <w:ind w:left="0"/>
        <w:rPr>
          <w:rFonts w:ascii="Arial"/>
          <w:b/>
          <w:sz w:val="29"/>
        </w:rPr>
      </w:pPr>
    </w:p>
    <w:p>
      <w:pPr>
        <w:spacing w:after="0"/>
        <w:rPr>
          <w:rFonts w:ascii="Arial"/>
          <w:sz w:val="29"/>
        </w:rPr>
        <w:sectPr>
          <w:type w:val="continuous"/>
          <w:pgSz w:w="11910" w:h="16850"/>
          <w:pgMar w:top="1080" w:bottom="1020" w:left="1060" w:right="0"/>
        </w:sectPr>
      </w:pPr>
    </w:p>
    <w:p>
      <w:pPr>
        <w:pStyle w:val="BodyText"/>
        <w:spacing w:before="9"/>
        <w:ind w:left="0"/>
        <w:rPr>
          <w:rFonts w:ascii="Arial"/>
          <w:b/>
          <w:sz w:val="8"/>
        </w:rPr>
      </w:pPr>
    </w:p>
    <w:p>
      <w:pPr>
        <w:tabs>
          <w:tab w:pos="778" w:val="left" w:leader="none"/>
        </w:tabs>
        <w:spacing w:before="0"/>
        <w:ind w:left="536" w:right="0" w:firstLine="0"/>
        <w:jc w:val="left"/>
        <w:rPr>
          <w:rFonts w:ascii="Arial"/>
          <w:sz w:val="6"/>
        </w:rPr>
      </w:pPr>
      <w:r>
        <w:rPr/>
        <w:pict>
          <v:shape style="position:absolute;margin-left:326.512054pt;margin-top:-60.418816pt;width:5.65pt;height:19.6pt;mso-position-horizontal-relative:page;mso-position-vertical-relative:paragraph;z-index:3160"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Cum survival</w:t>
                  </w:r>
                </w:p>
              </w:txbxContent>
            </v:textbox>
            <w10:wrap type="none"/>
          </v:shape>
        </w:pict>
      </w:r>
      <w:r>
        <w:rPr/>
        <w:pict>
          <v:shape style="position:absolute;margin-left:334.218475pt;margin-top:-10.477943pt;width:5.65pt;height:6.2pt;mso-position-horizontal-relative:page;mso-position-vertical-relative:paragraph;z-index:3352"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0.0</w:t>
                  </w:r>
                </w:p>
              </w:txbxContent>
            </v:textbox>
            <w10:wrap type="none"/>
          </v:shape>
        </w:pict>
      </w:r>
      <w:r>
        <w:rPr/>
        <w:pict>
          <v:shape style="position:absolute;margin-left:334.218475pt;margin-top:-27.596727pt;width:5.65pt;height:6.2pt;mso-position-horizontal-relative:page;mso-position-vertical-relative:paragraph;z-index:3376"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0.2</w:t>
                  </w:r>
                </w:p>
              </w:txbxContent>
            </v:textbox>
            <w10:wrap type="none"/>
          </v:shape>
        </w:pict>
      </w:r>
      <w:r>
        <w:rPr/>
        <w:pict>
          <v:shape style="position:absolute;margin-left:334.218475pt;margin-top:-44.908943pt;width:5.65pt;height:6.2pt;mso-position-horizontal-relative:page;mso-position-vertical-relative:paragraph;z-index:3400" type="#_x0000_t202" filled="false" stroked="false">
            <v:textbox inset="0,0,0,0" style="layout-flow:vertical;mso-layout-flow-alt:bottom-to-top">
              <w:txbxContent>
                <w:p>
                  <w:pPr>
                    <w:spacing w:before="22"/>
                    <w:ind w:left="20" w:right="0" w:firstLine="0"/>
                    <w:jc w:val="left"/>
                    <w:rPr>
                      <w:rFonts w:ascii="Arial"/>
                      <w:sz w:val="6"/>
                    </w:rPr>
                  </w:pPr>
                  <w:r>
                    <w:rPr>
                      <w:rFonts w:ascii="Arial"/>
                      <w:sz w:val="6"/>
                    </w:rPr>
                    <w:t>0.4</w:t>
                  </w:r>
                </w:p>
              </w:txbxContent>
            </v:textbox>
            <w10:wrap type="none"/>
          </v:shape>
        </w:pict>
      </w:r>
      <w:r>
        <w:rPr>
          <w:rFonts w:ascii="Arial"/>
          <w:w w:val="105"/>
          <w:sz w:val="6"/>
        </w:rPr>
        <w:t>0</w:t>
        <w:tab/>
        <w:t>500 1000 1500 2000 2500 3000 3500</w:t>
      </w:r>
    </w:p>
    <w:p>
      <w:pPr>
        <w:pStyle w:val="BodyText"/>
        <w:spacing w:before="7"/>
        <w:ind w:left="0"/>
        <w:rPr>
          <w:rFonts w:ascii="Arial"/>
          <w:sz w:val="8"/>
        </w:rPr>
      </w:pPr>
      <w:r>
        <w:rPr/>
        <w:br w:type="column"/>
      </w:r>
      <w:r>
        <w:rPr>
          <w:rFonts w:ascii="Arial"/>
          <w:sz w:val="8"/>
        </w:rPr>
      </w:r>
    </w:p>
    <w:p>
      <w:pPr>
        <w:tabs>
          <w:tab w:pos="774" w:val="left" w:leader="none"/>
        </w:tabs>
        <w:spacing w:before="0"/>
        <w:ind w:left="536" w:right="0" w:firstLine="0"/>
        <w:jc w:val="left"/>
        <w:rPr>
          <w:rFonts w:ascii="Arial"/>
          <w:sz w:val="6"/>
        </w:rPr>
      </w:pPr>
      <w:r>
        <w:rPr/>
        <w:pict>
          <v:shape style="position:absolute;margin-left:64.988312pt;margin-top:-60.621422pt;width:5.55pt;height:19.650pt;mso-position-horizontal-relative:page;mso-position-vertical-relative:paragraph;z-index:1744"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Cum survival</w:t>
                  </w:r>
                </w:p>
              </w:txbxContent>
            </v:textbox>
            <w10:wrap type="none"/>
          </v:shape>
        </w:pict>
      </w:r>
      <w:r>
        <w:rPr/>
        <w:pict>
          <v:shape style="position:absolute;margin-left:72.437843pt;margin-top:-10.48157pt;width:5.55pt;height:6.2pt;mso-position-horizontal-relative:page;mso-position-vertical-relative:paragraph;z-index:2176"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0.0</w:t>
                  </w:r>
                </w:p>
              </w:txbxContent>
            </v:textbox>
            <w10:wrap type="none"/>
          </v:shape>
        </w:pict>
      </w:r>
      <w:r>
        <w:rPr/>
        <w:pict>
          <v:shape style="position:absolute;margin-left:72.437843pt;margin-top:-27.66856pt;width:5.55pt;height:6.2pt;mso-position-horizontal-relative:page;mso-position-vertical-relative:paragraph;z-index:2200"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0.2</w:t>
                  </w:r>
                </w:p>
              </w:txbxContent>
            </v:textbox>
            <w10:wrap type="none"/>
          </v:shape>
        </w:pict>
      </w:r>
      <w:r>
        <w:rPr/>
        <w:pict>
          <v:shape style="position:absolute;margin-left:72.437843pt;margin-top:-45.049755pt;width:5.55pt;height:6.2pt;mso-position-horizontal-relative:page;mso-position-vertical-relative:paragraph;z-index:2224"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0.4</w:t>
                  </w:r>
                </w:p>
              </w:txbxContent>
            </v:textbox>
            <w10:wrap type="none"/>
          </v:shape>
        </w:pict>
      </w:r>
      <w:r>
        <w:rPr/>
        <w:pict>
          <v:shape style="position:absolute;margin-left:204.282043pt;margin-top:-10.670933pt;width:5.45pt;height:6.25pt;mso-position-horizontal-relative:page;mso-position-vertical-relative:paragraph;z-index:268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0.0</w:t>
                  </w:r>
                </w:p>
              </w:txbxContent>
            </v:textbox>
            <w10:wrap type="none"/>
          </v:shape>
        </w:pict>
      </w:r>
      <w:r>
        <w:rPr/>
        <w:pict>
          <v:shape style="position:absolute;margin-left:204.282043pt;margin-top:-27.993361pt;width:5.45pt;height:6.25pt;mso-position-horizontal-relative:page;mso-position-vertical-relative:paragraph;z-index:2704"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0.2</w:t>
                  </w:r>
                </w:p>
              </w:txbxContent>
            </v:textbox>
            <w10:wrap type="none"/>
          </v:shape>
        </w:pict>
      </w:r>
      <w:r>
        <w:rPr/>
        <w:pict>
          <v:shape style="position:absolute;margin-left:204.282043pt;margin-top:-45.511524pt;width:5.45pt;height:6.25pt;mso-position-horizontal-relative:page;mso-position-vertical-relative:paragraph;z-index:272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0.4</w:t>
                  </w:r>
                </w:p>
              </w:txbxContent>
            </v:textbox>
            <w10:wrap type="none"/>
          </v:shape>
        </w:pict>
      </w:r>
      <w:r>
        <w:rPr>
          <w:rFonts w:ascii="Arial"/>
          <w:sz w:val="6"/>
        </w:rPr>
        <w:t>0</w:t>
        <w:tab/>
        <w:t>500 1000 1500 2000 2500 3000</w:t>
      </w:r>
      <w:r>
        <w:rPr>
          <w:rFonts w:ascii="Arial"/>
          <w:spacing w:val="13"/>
          <w:sz w:val="6"/>
        </w:rPr>
        <w:t> </w:t>
      </w:r>
      <w:r>
        <w:rPr>
          <w:rFonts w:ascii="Arial"/>
          <w:sz w:val="6"/>
        </w:rPr>
        <w:t>3500</w:t>
      </w:r>
    </w:p>
    <w:p>
      <w:pPr>
        <w:pStyle w:val="BodyText"/>
        <w:spacing w:before="10"/>
        <w:ind w:left="0"/>
        <w:rPr>
          <w:rFonts w:ascii="Arial"/>
          <w:sz w:val="8"/>
        </w:rPr>
      </w:pPr>
      <w:r>
        <w:rPr/>
        <w:br w:type="column"/>
      </w:r>
      <w:r>
        <w:rPr>
          <w:rFonts w:ascii="Arial"/>
          <w:sz w:val="8"/>
        </w:rPr>
      </w:r>
    </w:p>
    <w:p>
      <w:pPr>
        <w:tabs>
          <w:tab w:pos="787" w:val="left" w:leader="none"/>
        </w:tabs>
        <w:spacing w:before="0"/>
        <w:ind w:left="536" w:right="0" w:firstLine="0"/>
        <w:jc w:val="left"/>
        <w:rPr>
          <w:rFonts w:ascii="Arial"/>
          <w:sz w:val="6"/>
        </w:rPr>
      </w:pPr>
      <w:r>
        <w:rPr>
          <w:rFonts w:ascii="Arial"/>
          <w:w w:val="110"/>
          <w:sz w:val="6"/>
        </w:rPr>
        <w:t>0</w:t>
        <w:tab/>
        <w:t>500 1000 1500 2000 2500 3000</w:t>
      </w:r>
      <w:r>
        <w:rPr>
          <w:rFonts w:ascii="Arial"/>
          <w:spacing w:val="7"/>
          <w:w w:val="110"/>
          <w:sz w:val="6"/>
        </w:rPr>
        <w:t> </w:t>
      </w:r>
      <w:r>
        <w:rPr>
          <w:rFonts w:ascii="Arial"/>
          <w:w w:val="110"/>
          <w:sz w:val="6"/>
        </w:rPr>
        <w:t>3500</w:t>
      </w:r>
    </w:p>
    <w:p>
      <w:pPr>
        <w:spacing w:after="0"/>
        <w:jc w:val="left"/>
        <w:rPr>
          <w:rFonts w:ascii="Arial"/>
          <w:sz w:val="6"/>
        </w:rPr>
        <w:sectPr>
          <w:type w:val="continuous"/>
          <w:pgSz w:w="11910" w:h="16850"/>
          <w:pgMar w:top="1080" w:bottom="1020" w:left="1060" w:right="0"/>
          <w:cols w:num="3" w:equalWidth="0">
            <w:col w:w="2559" w:space="75"/>
            <w:col w:w="2560" w:space="46"/>
            <w:col w:w="5610"/>
          </w:cols>
        </w:sectPr>
      </w:pPr>
    </w:p>
    <w:p>
      <w:pPr>
        <w:pStyle w:val="BodyText"/>
        <w:spacing w:before="10"/>
        <w:ind w:left="0"/>
        <w:rPr>
          <w:rFonts w:ascii="Arial"/>
          <w:sz w:val="6"/>
        </w:rPr>
      </w:pPr>
    </w:p>
    <w:p>
      <w:pPr>
        <w:spacing w:before="0"/>
        <w:ind w:left="0" w:right="38" w:firstLine="0"/>
        <w:jc w:val="right"/>
        <w:rPr>
          <w:rFonts w:ascii="Arial"/>
          <w:sz w:val="6"/>
        </w:rPr>
      </w:pPr>
      <w:r>
        <w:rPr>
          <w:rFonts w:ascii="Arial"/>
          <w:sz w:val="6"/>
        </w:rPr>
        <w:t>time(days)</w:t>
      </w:r>
    </w:p>
    <w:p>
      <w:pPr>
        <w:pStyle w:val="BodyText"/>
        <w:spacing w:before="9"/>
        <w:ind w:left="0"/>
        <w:rPr>
          <w:rFonts w:ascii="Arial"/>
          <w:sz w:val="6"/>
        </w:rPr>
      </w:pPr>
      <w:r>
        <w:rPr/>
        <w:br w:type="column"/>
      </w:r>
      <w:r>
        <w:rPr>
          <w:rFonts w:ascii="Arial"/>
          <w:sz w:val="6"/>
        </w:rPr>
      </w:r>
    </w:p>
    <w:p>
      <w:pPr>
        <w:spacing w:before="1"/>
        <w:ind w:left="0" w:right="38" w:firstLine="0"/>
        <w:jc w:val="right"/>
        <w:rPr>
          <w:rFonts w:ascii="Arial"/>
          <w:sz w:val="6"/>
        </w:rPr>
      </w:pPr>
      <w:r>
        <w:rPr>
          <w:rFonts w:ascii="Arial"/>
          <w:sz w:val="6"/>
        </w:rPr>
        <w:t>time(days)</w:t>
      </w:r>
    </w:p>
    <w:p>
      <w:pPr>
        <w:pStyle w:val="BodyText"/>
        <w:spacing w:before="10"/>
        <w:ind w:left="0"/>
        <w:rPr>
          <w:rFonts w:ascii="Arial"/>
          <w:sz w:val="6"/>
        </w:rPr>
      </w:pPr>
      <w:r>
        <w:rPr/>
        <w:br w:type="column"/>
      </w:r>
      <w:r>
        <w:rPr>
          <w:rFonts w:ascii="Arial"/>
          <w:sz w:val="6"/>
        </w:rPr>
      </w:r>
    </w:p>
    <w:p>
      <w:pPr>
        <w:spacing w:before="1"/>
        <w:ind w:left="1484" w:right="0" w:firstLine="0"/>
        <w:jc w:val="left"/>
        <w:rPr>
          <w:rFonts w:ascii="Arial"/>
          <w:sz w:val="6"/>
        </w:rPr>
      </w:pPr>
      <w:r>
        <w:rPr>
          <w:rFonts w:ascii="Arial"/>
          <w:w w:val="110"/>
          <w:sz w:val="6"/>
        </w:rPr>
        <w:t>time(days)</w:t>
      </w:r>
    </w:p>
    <w:p>
      <w:pPr>
        <w:spacing w:after="0"/>
        <w:jc w:val="left"/>
        <w:rPr>
          <w:rFonts w:ascii="Arial"/>
          <w:sz w:val="6"/>
        </w:rPr>
        <w:sectPr>
          <w:type w:val="continuous"/>
          <w:pgSz w:w="11910" w:h="16850"/>
          <w:pgMar w:top="1080" w:bottom="1020" w:left="1060" w:right="0"/>
          <w:cols w:num="3" w:equalWidth="0">
            <w:col w:w="1812" w:space="804"/>
            <w:col w:w="1807" w:space="850"/>
            <w:col w:w="5577"/>
          </w:cols>
        </w:sectPr>
      </w:pPr>
    </w:p>
    <w:p>
      <w:pPr>
        <w:pStyle w:val="BodyText"/>
        <w:spacing w:before="3"/>
        <w:ind w:left="0"/>
        <w:rPr>
          <w:rFonts w:ascii="Arial"/>
          <w:sz w:val="13"/>
        </w:rPr>
      </w:pPr>
    </w:p>
    <w:p>
      <w:pPr>
        <w:tabs>
          <w:tab w:pos="3928" w:val="left" w:leader="none"/>
          <w:tab w:pos="6503" w:val="left" w:leader="none"/>
        </w:tabs>
        <w:spacing w:before="85"/>
        <w:ind w:left="817" w:right="0" w:firstLine="0"/>
        <w:jc w:val="left"/>
        <w:rPr>
          <w:sz w:val="15"/>
        </w:rPr>
      </w:pPr>
      <w:r>
        <w:rPr>
          <w:sz w:val="15"/>
        </w:rPr>
        <w:t>图</w:t>
      </w:r>
      <w:r>
        <w:rPr>
          <w:rFonts w:ascii="Times New Roman" w:eastAsia="Times New Roman"/>
          <w:sz w:val="15"/>
        </w:rPr>
        <w:t>1A  </w:t>
      </w:r>
      <w:r>
        <w:rPr>
          <w:spacing w:val="-3"/>
          <w:sz w:val="15"/>
        </w:rPr>
        <w:t>性</w:t>
      </w:r>
      <w:r>
        <w:rPr>
          <w:sz w:val="15"/>
        </w:rPr>
        <w:t>别</w:t>
        <w:tab/>
      </w:r>
      <w:r>
        <w:rPr>
          <w:spacing w:val="-3"/>
          <w:sz w:val="15"/>
        </w:rPr>
        <w:t>图</w:t>
      </w:r>
      <w:r>
        <w:rPr>
          <w:rFonts w:ascii="Times New Roman" w:eastAsia="Times New Roman"/>
          <w:sz w:val="15"/>
        </w:rPr>
        <w:t>1B</w:t>
      </w:r>
      <w:r>
        <w:rPr>
          <w:rFonts w:ascii="Times New Roman" w:eastAsia="Times New Roman"/>
          <w:spacing w:val="37"/>
          <w:sz w:val="15"/>
        </w:rPr>
        <w:t> </w:t>
      </w:r>
      <w:r>
        <w:rPr>
          <w:sz w:val="15"/>
        </w:rPr>
        <w:t>年龄</w:t>
        <w:tab/>
        <w:t>图</w:t>
      </w:r>
      <w:r>
        <w:rPr>
          <w:rFonts w:ascii="Times New Roman" w:eastAsia="Times New Roman"/>
          <w:sz w:val="15"/>
        </w:rPr>
        <w:t>1C </w:t>
      </w:r>
      <w:r>
        <w:rPr>
          <w:rFonts w:ascii="Times New Roman" w:eastAsia="Times New Roman"/>
          <w:spacing w:val="-3"/>
          <w:sz w:val="15"/>
        </w:rPr>
        <w:t>TNM</w:t>
      </w:r>
      <w:r>
        <w:rPr>
          <w:sz w:val="15"/>
        </w:rPr>
        <w:t>分期</w:t>
      </w:r>
    </w:p>
    <w:p>
      <w:pPr>
        <w:pStyle w:val="BodyText"/>
        <w:spacing w:before="4"/>
        <w:ind w:left="0"/>
        <w:rPr>
          <w:sz w:val="8"/>
        </w:rPr>
      </w:pPr>
    </w:p>
    <w:p>
      <w:pPr>
        <w:spacing w:after="0"/>
        <w:rPr>
          <w:sz w:val="8"/>
        </w:rPr>
        <w:sectPr>
          <w:type w:val="continuous"/>
          <w:pgSz w:w="11910" w:h="16850"/>
          <w:pgMar w:top="1080" w:bottom="1020" w:left="1060" w:right="0"/>
        </w:sectPr>
      </w:pPr>
    </w:p>
    <w:p>
      <w:pPr>
        <w:pStyle w:val="BodyText"/>
        <w:spacing w:before="8"/>
        <w:ind w:left="0"/>
        <w:rPr>
          <w:sz w:val="9"/>
        </w:rPr>
      </w:pPr>
    </w:p>
    <w:p>
      <w:pPr>
        <w:spacing w:before="0"/>
        <w:ind w:left="960" w:right="0" w:firstLine="0"/>
        <w:jc w:val="left"/>
        <w:rPr>
          <w:rFonts w:ascii="Arial"/>
          <w:b/>
          <w:sz w:val="7"/>
        </w:rPr>
      </w:pPr>
      <w:r>
        <w:rPr/>
        <w:pict>
          <v:shape style="position:absolute;margin-left:72.063843pt;margin-top:9.855916pt;width:5.35pt;height:6.35pt;mso-position-horizontal-relative:page;mso-position-vertical-relative:paragraph;z-index:2152"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1.0</w:t>
                  </w:r>
                </w:p>
              </w:txbxContent>
            </v:textbox>
            <w10:wrap type="none"/>
          </v:shape>
        </w:pict>
      </w:r>
      <w:r>
        <w:rPr>
          <w:rFonts w:ascii="Arial"/>
          <w:b/>
          <w:sz w:val="7"/>
        </w:rPr>
        <w:t>Survival functions(types of cancer)</w:t>
      </w:r>
    </w:p>
    <w:p>
      <w:pPr>
        <w:pStyle w:val="BodyText"/>
        <w:spacing w:before="4"/>
        <w:ind w:left="0"/>
        <w:rPr>
          <w:rFonts w:ascii="Arial"/>
          <w:b/>
          <w:sz w:val="8"/>
        </w:rPr>
      </w:pPr>
      <w:r>
        <w:rPr/>
        <w:br w:type="column"/>
      </w:r>
      <w:r>
        <w:rPr>
          <w:rFonts w:ascii="Arial"/>
          <w:b/>
          <w:sz w:val="8"/>
        </w:rPr>
      </w:r>
    </w:p>
    <w:p>
      <w:pPr>
        <w:spacing w:before="0"/>
        <w:ind w:left="960" w:right="0" w:firstLine="0"/>
        <w:jc w:val="left"/>
        <w:rPr>
          <w:rFonts w:ascii="Arial"/>
          <w:b/>
          <w:sz w:val="9"/>
        </w:rPr>
      </w:pPr>
      <w:r>
        <w:rPr/>
        <w:pict>
          <v:shape style="position:absolute;margin-left:196.455429pt;margin-top:11.385917pt;width:4.7pt;height:7.1pt;mso-position-horizontal-relative:page;mso-position-vertical-relative:paragraph;z-index:2608"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1.0</w:t>
                  </w:r>
                </w:p>
              </w:txbxContent>
            </v:textbox>
            <w10:wrap type="none"/>
          </v:shape>
        </w:pict>
      </w:r>
      <w:r>
        <w:rPr>
          <w:rFonts w:ascii="Arial"/>
          <w:b/>
          <w:w w:val="65"/>
          <w:sz w:val="9"/>
        </w:rPr>
        <w:t>Survival functions(KPS scores)</w:t>
      </w:r>
    </w:p>
    <w:p>
      <w:pPr>
        <w:pStyle w:val="BodyText"/>
        <w:ind w:left="0"/>
        <w:rPr>
          <w:rFonts w:ascii="Arial"/>
          <w:b/>
          <w:sz w:val="8"/>
        </w:rPr>
      </w:pPr>
      <w:r>
        <w:rPr/>
        <w:br w:type="column"/>
      </w:r>
      <w:r>
        <w:rPr>
          <w:rFonts w:ascii="Arial"/>
          <w:b/>
          <w:sz w:val="8"/>
        </w:rPr>
      </w:r>
    </w:p>
    <w:p>
      <w:pPr>
        <w:pStyle w:val="BodyText"/>
        <w:spacing w:before="5"/>
        <w:ind w:left="0"/>
        <w:rPr>
          <w:rFonts w:ascii="Arial"/>
          <w:b/>
          <w:sz w:val="7"/>
        </w:rPr>
      </w:pPr>
    </w:p>
    <w:p>
      <w:pPr>
        <w:spacing w:before="0"/>
        <w:ind w:left="960" w:right="0" w:firstLine="0"/>
        <w:jc w:val="left"/>
        <w:rPr>
          <w:rFonts w:ascii="Arial"/>
          <w:b/>
          <w:sz w:val="7"/>
        </w:rPr>
      </w:pPr>
      <w:r>
        <w:rPr/>
        <w:pict>
          <v:group style="position:absolute;margin-left:201.528671pt;margin-top:7.219199pt;width:111.5pt;height:95.6pt;mso-position-horizontal-relative:page;mso-position-vertical-relative:paragraph;z-index:1288" coordorigin="4031,144" coordsize="2230,1912">
            <v:shape style="position:absolute;left:1381;top:-16;width:15039;height:8248" coordorigin="1381,-15" coordsize="15039,8248" path="m4057,2014l6038,2014m4057,2014l4057,2055m4342,2014l4342,2055m4624,2014l4624,2055m4908,2014l4908,2055m5190,2014l5190,2055m5472,2014l5472,2055m5756,2014l5756,2055m6038,2014l6038,2055m4057,1944l4057,216m4057,1944l4031,1944m4057,1596l4031,1596m4057,1252l4031,1252m4057,908l4031,908m4057,560l4031,560m4057,216l4031,216m4057,2014l6257,2014,6257,147,4057,147,4057,2014e" filled="false" stroked="true" strokeweight=".189775pt" strokecolor="#000000">
              <v:path arrowok="t"/>
              <v:stroke dashstyle="solid"/>
            </v:shape>
            <v:shape style="position:absolute;left:4057;top:216;width:2118;height:1361" coordorigin="4057,216" coordsize="2118,1361" path="m4057,216l4072,216,4072,221,4078,221,4078,225,4084,225,4084,230,4090,230,4096,230,4096,235,4099,235,4102,235,4102,239,4102,244,4105,244,4111,244,4111,249,4117,249,4117,253,4128,253,4131,253,4131,258,4131,263,4131,267,4134,267,4134,272,4137,272,4137,277,4140,277,4140,281,4140,286,4149,286,4152,286,4152,290,4152,295,4155,295,4155,300,4155,304,4155,309,4161,309,4161,314,4161,318,4164,318,4164,323,4167,323,4167,328,4167,332,4170,332,4170,337,4170,342,4173,342,4173,346,4176,346,4176,355,4179,355,4182,355,4182,360,4185,360,4185,365,4188,365,4191,365,4191,369,4194,369,4194,379,4197,379,4197,388,4200,388,4200,393,4206,393,4206,397,4209,397,4209,402,4214,402,4214,407,4217,407,4217,411,4217,416,4223,416,4223,421,4226,421,4226,425,4229,425,4229,430,4232,430,4232,434,4238,434,4238,439,4238,444,4241,444,4241,448,4241,453,4241,458,4241,462,4244,462,4250,462,4250,467,4253,467,4253,476,4253,481,4256,481,4259,481,4259,490,4262,490,4262,495,4265,495,4265,499,4265,504,4265,513,4280,513,4283,513,4283,518,4286,518,4286,523,4286,527,4289,527,4292,527,4292,532,4292,537,4298,537,4298,541,4298,546,4300,546,4300,551,4300,555,4306,555,4306,560,4306,564,4306,569,4309,569,4309,574,4309,578,4312,578,4312,583,4315,583,4315,588,4318,588,4318,592,4324,592,4324,597,4327,597,4327,602,4330,602,4330,611,4339,611,4339,616,4339,620,4345,620,4348,620,4348,625,4351,625,4351,629,4351,634,4354,634,4354,639,4357,639,4357,643,4363,643,4363,648,4363,657,4366,657,4366,662,4366,667,4369,667,4369,671,4372,671,4372,676,4375,676,4375,681,4375,685,4378,685,4378,690,4378,695,4386,695,4386,699,4389,699,4398,699,4398,704,4401,704,4401,708,4401,713,4401,718,4404,718,4404,722,4407,722,4410,722,4410,727,4413,727,4413,732,4419,732,4419,736,4434,736,4434,741,4434,746,4437,746,4437,750,4440,750,4440,755,4443,755,4443,760,4443,764,4449,764,4449,769,4449,773,4452,773,4458,773,4458,778,4461,778,4461,783,4461,787,4464,787,4464,792,4467,792,4467,797,4467,801,4472,801,4478,801,4478,806,4478,811,4478,815,4481,815,4481,820,4481,825,4484,825,4484,829,4490,829,4499,829,4499,834,4499,843,4508,843,4508,848,4508,852,4511,852,4511,857,4520,857,4520,862,4526,862,4526,866,4532,866,4532,871,4535,871,4535,876,4538,876,4538,885,4541,885,4541,890,4547,890,4547,894,4547,899,4550,899,4550,903,4552,903,4558,903,4558,908,4561,908,4561,918,4564,918,4564,927,4573,927,4573,931,4576,931,4576,936,4576,941,4579,941,4579,945,4585,945,4591,945,4591,950,4591,955,4594,955,4594,959,4594,964,4600,964,4600,969,4600,973,4606,973,4606,978,4615,978,4615,983,4627,983,4627,987,4638,987,4638,992,4641,992,4641,996,4644,996,4644,1001,4647,1001,4647,1006,4650,1006,4650,1010,4650,1015,4665,1015,4665,1024,4674,1024,4674,1029,4674,1034,4674,1043,4686,1043,4686,1048,4689,1048,4689,1052,4692,1052,4692,1057,4695,1057,4695,1061,4701,1061,4701,1066,4707,1066,4707,1075,4707,1080,4713,1080,4713,1085,4722,1085,4722,1089,4722,1094,4724,1094,4724,1099,4730,1099,4730,1103,4733,1103,4736,1103,4736,1108,4739,1108,4739,1113,4742,1113,4742,1117,4748,1117,4748,1122,4751,1122,4751,1127,4760,1127,4760,1131,4766,1131,4766,1136,4787,1136,4787,1140,4796,1140,4796,1145,4802,1145,4802,1150,4813,1150,4813,1154,4816,1154,4816,1159,4819,1159,4819,1164,4828,1164,4828,1168,4831,1168,4831,1173,4840,1173,4840,1178,4849,1178,4849,1182,4849,1187,4864,1187,4864,1192,4870,1192,4870,1196,4873,1196,4873,1201,4885,1201,4885,1205,4896,1205,4896,1210,4896,1215,4896,1219,4902,1219,4902,1224,4926,1224,4926,1229,4929,1229,4929,1233,4953,1233,4953,1238,4962,1238,4962,1243,4971,1243,4971,1247,4985,1247,4985,1252,5003,1252,5003,1257,5006,1257,5006,1261,5018,1261,5018,1266,5033,1266,5057,1266,5057,1271,5062,1271,5062,1275,5294,1275,5294,1298,5427,1298,5427,1391,5887,1391,5887,1577,6174,1577e" filled="false" stroked="true" strokeweight=".207087pt" strokecolor="#ff0000">
              <v:path arrowok="t"/>
              <v:stroke dashstyle="solid"/>
            </v:shape>
            <v:shape style="position:absolute;left:4057;top:216;width:1688;height:1626" coordorigin="4057,216" coordsize="1688,1626" path="m4057,216l4066,216,4066,221,4069,221,4069,230,4075,230,4084,230,4084,235,4084,239,4099,239,4099,244,4105,244,4105,249,4108,249,4108,253,4108,263,4114,263,4114,267,4114,272,4114,277,4117,277,4117,281,4120,281,4123,281,4123,286,4125,286,4125,290,4125,295,4128,295,4128,304,4131,304,4131,314,4134,314,4137,314,4137,323,4140,323,4140,332,4140,337,4140,342,4143,342,4143,346,4146,346,4146,351,4149,351,4152,351,4152,355,4152,360,4158,360,4158,365,4161,365,4161,369,4161,374,4164,374,4164,388,4167,388,4167,393,4167,397,4170,397,4170,402,4170,407,4170,411,4173,411,4173,416,4176,416,4176,421,4176,425,4182,425,4182,430,4185,430,4185,439,4188,439,4188,444,4194,444,4194,448,4194,453,4197,453,4197,458,4197,462,4197,467,4200,467,4200,472,4200,476,4200,481,4203,481,4203,490,4206,490,4206,495,4209,495,4209,499,4209,504,4211,504,4211,509,4211,513,4211,518,4211,523,4214,523,4214,527,4214,532,4214,537,4217,537,4217,541,4220,541,4220,555,4223,555,4223,564,4223,569,4226,569,4226,569,4226,574,4226,578,4226,583,4229,583,4232,583,4232,588,4232,592,4235,592,4235,597,4241,597,4244,597,4244,602,4247,602,4247,606,4247,611,4250,611,4250,616,4250,620,4253,620,4253,625,4256,625,4256,629,4259,629,4259,639,4259,648,4262,648,4262,653,4265,653,4265,662,4265,676,4271,676,4271,681,4271,685,4271,690,4277,690,4277,695,4277,699,4277,708,4280,708,4280,713,4280,718,4283,718,4283,722,4283,727,4286,727,4286,732,4286,736,4286,741,4289,741,4289,741,4289,746,4289,750,4289,755,4292,755,4292,760,4300,760,4300,764,4303,764,4303,769,4306,769,4306,773,4309,773,4309,778,4312,778,4312,783,4312,787,4315,787,4315,792,4315,797,4318,797,4324,797,4324,801,4324,806,4327,806,4327,811,4330,811,4330,815,4333,815,4333,820,4336,820,4336,825,4336,829,4339,829,4339,834,4339,838,4342,838,4342,843,4345,843,4345,848,4348,848,4348,852,4348,857,4351,857,4351,862,4351,866,4351,876,4354,876,4354,880,4357,880,4357,885,4360,885,4360,890,4363,890,4363,894,4363,899,4366,899,4369,899,4369,908,4372,908,4372,913,4378,913,4378,918,4380,918,4380,922,4380,927,4383,927,4383,931,4383,936,4389,936,4389,941,4392,941,4392,945,4395,945,4395,950,4401,950,4401,955,4401,959,4401,964,4404,964,4404,969,4407,969,4407,973,4410,973,4410,983,4410,987,4413,987,4413,992,4416,992,4416,996,4416,1001,4422,1001,4422,1006,4422,1010,4425,1010,4425,1015,4431,1015,4434,1015,4434,1020,4434,1024,4437,1024,4437,1029,4437,1034,4443,1034,4443,1038,4446,1038,4449,1038,4449,1043,4449,1048,4449,1052,4452,1052,4452,1057,4455,1057,4455,1061,4455,1066,4458,1066,4458,1075,4464,1075,4464,1080,4464,1085,4469,1085,4472,1085,4472,1089,4472,1094,4475,1094,4475,1099,4475,1103,4475,1108,4478,1108,4478,1117,4478,1122,4481,1122,4481,1127,4484,1127,4484,1131,4487,1131,4487,1136,4490,1136,4490,1140,4493,1140,4493,1150,4493,1154,4499,1154,4499,1159,4502,1159,4505,1159,4505,1164,4505,1168,4505,1173,4508,1173,4508,1182,4511,1182,4520,1182,4520,1187,4520,1192,4523,1192,4523,1196,4526,1196,4526,1201,4529,1201,4529,1205,4529,1210,4532,1210,4532,1215,4538,1215,4538,1219,4541,1219,4541,1224,4544,1224,4544,1229,4547,1229,4547,1233,4550,1233,4550,1238,4567,1238,4567,1243,4570,1243,4570,1247,4576,1247,4576,1252,4579,1252,4579,1257,4582,1257,4582,1261,4588,1261,4588,1266,4591,1266,4594,1266,4594,1271,4597,1271,4597,1275,4597,1280,4606,1280,4606,1284,4612,1284,4612,1289,4621,1289,4621,1294,4624,1294,4624,1298,4627,1298,4627,1303,4633,1303,4633,1308,4635,1308,4635,1312,4641,1312,4641,1317,4647,1317,4647,1322,4653,1322,4653,1326,4662,1326,4668,1326,4668,1331,4677,1331,4677,1335,4677,1340,4683,1340,4683,1345,4686,1345,4686,1354,4695,1354,4695,1359,4704,1359,4704,1363,4713,1363,4722,1363,4722,1368,4733,1368,4733,1373,4733,1377,4739,1377,4739,1387,4760,1387,4760,1391,4766,1391,4766,1396,4775,1396,4775,1401,4775,1405,4784,1405,4787,1405,4787,1410,4787,1414,4790,1414,4790,1419,4805,1419,4805,1424,4805,1428,4822,1428,4822,1433,4828,1433,4828,1438,4840,1438,4840,1442,4858,1442,4858,1447,4861,1447,4864,1447,4864,1452,4867,1452,4867,1456,4879,1456,4879,1461,4885,1461,4885,1466,4888,1466,4888,1470,4894,1470,4894,1475,4950,1475,4950,1479,4956,1479,4956,1484,4962,1484,4962,1489,4971,1489,4971,1493,4979,1493,4979,1498,5033,1498,5033,1503,5042,1503,5042,1507,5048,1507,5048,1517,5062,1517,5062,1521,5068,1521,5068,1526,5149,1526,5149,1540,5181,1540,5181,1558,5199,1558,5199,1577,5205,1577,5205,1596,5226,1596,5226,1614,5576,1614,5576,1679,5614,1679,5614,1744,5676,1744,5676,1842,5745,1842e" filled="false" stroked="true" strokeweight=".191325pt" strokecolor="#0000ff">
              <v:path arrowok="t"/>
              <v:stroke dashstyle="solid"/>
            </v:shape>
            <v:line style="position:absolute" from="5685,342" to="5771,342" stroked="true" strokeweight=".231465pt" strokecolor="#ff0000">
              <v:stroke dashstyle="solid"/>
            </v:line>
            <v:line style="position:absolute" from="5685,467" to="5771,467" stroked="true" strokeweight=".231465pt" strokecolor="#0000ff">
              <v:stroke dashstyle="solid"/>
            </v:line>
            <v:shape style="position:absolute;left:5643;top:216;width:525;height:381" type="#_x0000_t202" filled="false" stroked="true" strokeweight=".216682pt" strokecolor="#000000">
              <v:textbox inset="0,0,0,0">
                <w:txbxContent>
                  <w:p>
                    <w:pPr>
                      <w:spacing w:line="240" w:lineRule="auto" w:before="4"/>
                      <w:rPr>
                        <w:sz w:val="7"/>
                      </w:rPr>
                    </w:pPr>
                  </w:p>
                  <w:p>
                    <w:pPr>
                      <w:spacing w:line="374" w:lineRule="auto" w:before="1"/>
                      <w:ind w:left="166" w:right="-9" w:firstLine="0"/>
                      <w:jc w:val="left"/>
                      <w:rPr>
                        <w:rFonts w:ascii="Arial"/>
                        <w:sz w:val="7"/>
                      </w:rPr>
                    </w:pPr>
                    <w:r>
                      <w:rPr>
                        <w:rFonts w:ascii="Arial"/>
                        <w:w w:val="70"/>
                        <w:sz w:val="7"/>
                      </w:rPr>
                      <w:t>KPS score&gt;80 KPS score&lt;=80</w:t>
                    </w:r>
                  </w:p>
                </w:txbxContent>
              </v:textbox>
              <v:stroke dashstyle="solid"/>
              <w10:wrap type="none"/>
            </v:shape>
            <w10:wrap type="none"/>
          </v:group>
        </w:pict>
      </w:r>
      <w:r>
        <w:rPr/>
        <w:pict>
          <v:group style="position:absolute;margin-left:339.062317pt;margin-top:9.133855pt;width:107.6pt;height:96pt;mso-position-horizontal-relative:page;mso-position-vertical-relative:paragraph;z-index:1552" coordorigin="6781,183" coordsize="2152,1920">
            <v:shape style="position:absolute;left:1381;top:-1779;width:11158;height:10031" coordorigin="1382,-1778" coordsize="11158,10031" path="m6816,2068l8722,2068m6816,2068l6816,2103m7090,2068l7090,2103m7360,2068l7360,2103m7634,2068l7634,2103m7904,2068l7904,2103m8178,2068l8178,2103m8448,2068l8448,2103m8722,2068l8722,2103m6816,1995l6816,254m6816,1995l6781,1995m6816,1650l6781,1650m6816,1301l6781,1301m6816,952l6781,952m6816,603l6781,603m6816,254l6781,254m6816,2068l8931,2068,8931,185,6816,185,6816,2068e" filled="false" stroked="true" strokeweight=".191937pt" strokecolor="#000000">
              <v:path arrowok="t"/>
              <v:stroke dashstyle="solid"/>
            </v:shape>
            <v:shape style="position:absolute;left:6816;top:253;width:2034;height:1535" coordorigin="6816,254" coordsize="2034,1535" path="m6816,254l6828,254,6828,257,6835,257,6835,261,6843,261,6843,265,6855,265,6855,269,6858,269,6858,273,6858,277,6862,277,6862,280,6866,280,6866,288,6870,288,6870,292,6874,292,6874,296,6878,296,6878,300,6882,300,6882,303,6882,307,6885,307,6885,311,6889,311,6889,315,6893,315,6893,319,6893,323,6897,323,6897,326,6897,334,6897,338,6901,338,6901,342,6905,342,6905,346,6909,346,6909,350,6913,350,6913,353,6916,353,6916,357,6916,361,6920,361,6920,365,6920,369,6920,373,6920,376,6920,380,6924,380,6924,384,6924,388,6924,392,6928,392,6928,396,6932,396,6932,399,6932,403,6932,407,6936,407,6936,411,6940,411,6940,415,6940,419,6940,422,6947,422,6947,426,6947,430,6947,434,6951,434,6951,438,6951,445,6951,449,6951,453,6955,453,6955,457,6955,461,6959,461,6959,465,6959,468,6963,468,6963,472,6963,476,6963,480,6966,480,6966,488,6966,491,6970,491,6974,491,6974,495,6974,499,6974,503,6978,503,6978,507,6978,511,6982,511,6982,514,6986,514,6986,518,6990,518,6990,522,6990,526,6994,526,6994,530,6994,534,6997,534,6997,538,6997,541,7001,541,7001,545,7005,545,7005,553,7005,557,7005,561,7009,561,7009,564,7009,572,7013,572,7013,576,7017,576,7017,580,7017,584,7017,591,7021,591,7021,595,7021,599,7024,599,7024,603,7024,607,7028,607,7028,610,7028,614,7032,614,7032,618,7032,622,7036,622,7036,626,7036,633,7036,637,7040,637,7040,637,7040,641,7040,645,7040,649,7048,649,7048,653,7051,653,7051,656,7055,656,7055,660,7055,664,7055,668,7055,672,7059,672,7059,672,7059,676,7059,679,7059,683,7063,683,7063,687,7067,687,7067,691,7071,691,7071,695,7075,695,7075,699,7075,702,7078,702,7078,706,7078,710,7082,710,7082,714,7086,714,7086,718,7086,722,7086,726,7086,729,7090,729,7090,733,7094,733,7094,737,7094,741,7098,741,7098,745,7098,748,7098,752,7102,752,7102,756,7102,760,7105,760,7105,764,7105,768,7109,768,7109,772,7109,775,7113,775,7113,779,7113,783,7117,783,7117,787,7117,791,7121,791,7121,795,7121,798,7125,798,7125,802,7129,802,7129,802,7129,810,7129,814,7132,814,7132,818,7136,818,7136,821,7140,821,7140,825,7144,825,7144,829,7144,833,7148,833,7148,837,7148,841,7148,844,7148,848,7148,852,7156,852,7156,856,7156,860,7156,864,7160,864,7160,867,7160,871,7163,871,7163,875,7167,875,7167,879,7175,879,7179,879,7179,883,7179,887,7179,890,7183,890,7183,894,7183,898,7186,898,7186,906,7190,906,7190,910,7190,913,7194,913,7194,917,7194,921,7194,925,7198,925,7198,929,7198,933,7202,933,7202,936,7202,940,7206,940,7206,944,7210,944,7210,948,7213,948,7213,952,7217,952,7217,956,7217,960,7217,963,7221,963,7221,967,7221,971,7221,975,7225,975,7225,979,7225,983,7229,983,7229,986,7233,986,7233,990,7233,994,7237,994,7237,998,7237,1002,7241,1002,7241,1005,7241,1009,7241,1013,7244,1013,7248,1013,7248,1017,7248,1021,7248,1025,7248,1029,7252,1029,7252,1032,7260,1032,7260,1036,7264,1036,7264,1040,7267,1040,7267,1044,7267,1048,7267,1052,7271,1052,7271,1055,7271,1059,7275,1059,7275,1067,7279,1067,7279,1071,7283,1071,7283,1075,7287,1075,7287,1082,7287,1086,7291,1086,7295,1086,7295,1090,7302,1090,7302,1094,7306,1094,7306,1098,7310,1098,7310,1101,7314,1101,7314,1105,7318,1105,7318,1109,7322,1109,7322,1113,7325,1113,7325,1117,7329,1117,7329,1121,7329,1124,7329,1128,7333,1128,7333,1132,7333,1136,7337,1136,7337,1140,7341,1140,7341,1144,7345,1144,7349,1144,7349,1147,7352,1147,7352,1151,7356,1151,7356,1155,7364,1155,7364,1159,7368,1159,7372,1159,7372,1163,7376,1163,7376,1167,7379,1167,7379,1170,7379,1174,7383,1174,7383,1178,7383,1182,7387,1182,7387,1186,7387,1190,7399,1190,7399,1193,7403,1193,7407,1193,7407,1197,7410,1197,7410,1201,7410,1205,7414,1205,7414,1209,7422,1209,7422,1213,7422,1217,7426,1217,7426,1220,7430,1220,7430,1224,7437,1224,7437,1228,7441,1228,7441,1232,7445,1232,7445,1236,7453,1236,7453,1239,7457,1239,7457,1243,7461,1243,7461,1247,7464,1247,7464,1251,7468,1251,7468,1255,7468,1259,7472,1259,7472,1263,7472,1266,7480,1266,7480,1270,7484,1270,7491,1270,7491,1274,7491,1278,7507,1278,7507,1282,7514,1282,7514,1286,7514,1289,7526,1289,7526,1293,7534,1293,7534,1297,7534,1301,7545,1301,7545,1305,7549,1305,7549,1309,7553,1309,7557,1309,7557,1312,7561,1312,7561,1316,7561,1320,7568,1320,7568,1324,7588,1324,7588,1328,7592,1328,7592,1332,7596,1332,7596,1335,7596,1339,7603,1339,7611,1339,7611,1343,7611,1347,7615,1347,7615,1351,7619,1351,7623,1351,7623,1355,7623,1358,7630,1358,7630,1362,7653,1362,7653,1366,7673,1366,7673,1370,7677,1370,7684,1370,7684,1374,7684,1378,7692,1378,7692,1382,7696,1382,7696,1385,7700,1385,7700,1389,7708,1389,7708,1393,7727,1393,7754,1393,7754,1397,7765,1397,7765,1401,7777,1401,7781,1401,7781,1408,7789,1408,7789,1412,7866,1412,7866,1420,7897,1420,7897,1431,7916,1431,7916,1439,7920,1439,7920,1451,8005,1451,8005,1466,8132,1466,8132,1512,8275,1512,8275,1566,8313,1566,8313,1619,8371,1619,8371,1684,8576,1684,8576,1788,8850,1788e" filled="false" stroked="true" strokeweight=".191739pt" strokecolor="#ff0000">
              <v:path arrowok="t"/>
              <v:stroke dashstyle="solid"/>
            </v:shape>
            <v:shape style="position:absolute;left:6816;top:253;width:1428;height:1408" coordorigin="6816,254" coordsize="1428,1408" path="m6816,254l6824,254,6824,261,6828,261,6828,269,6831,269,6831,277,6831,284,6839,284,6839,292,6847,292,6847,300,6855,300,6855,307,6866,307,6866,315,6870,315,6870,326,6870,334,6878,334,6878,342,6885,342,6885,365,6885,376,6889,376,6889,384,6889,392,6897,392,6897,399,6897,407,6901,407,6901,419,6905,419,6905,426,6909,426,6909,434,6909,442,6909,453,6916,453,6916,461,6916,468,6916,488,6920,488,6920,495,6924,495,6924,503,6928,503,6928,511,6932,511,6932,522,6940,522,6940,538,6943,538,6943,549,6951,549,6951,557,6955,557,6955,564,6959,564,6959,576,6966,576,6966,591,6966,603,6970,603,6970,610,6970,630,6974,630,6974,649,6974,656,6978,656,6978,664,6978,676,6982,676,6982,691,6990,691,6990,702,6994,702,6994,710,6994,722,6997,722,6997,729,7001,729,7001,737,7001,748,7009,748,7009,775,7013,775,7013,783,7017,783,7017,795,7017,814,7028,814,7028,821,7032,821,7032,829,7032,841,7040,841,7040,848,7044,848,7044,860,7048,860,7048,867,7048,875,7051,875,7051,887,7055,887,7055,894,7063,894,7063,906,7063,913,7063,925,7075,925,7075,933,7078,933,7078,944,7098,944,7098,952,7098,963,7098,971,7102,971,7102,983,7109,983,7109,990,7109,998,7117,998,7117,1009,7117,1017,7121,1017,7121,1029,7125,1029,7125,1040,7136,1040,7136,1048,7152,1048,7152,1067,7167,1067,7167,1078,7171,1078,7171,1086,7179,1086,7179,1098,7202,1098,7202,1105,7202,1117,7206,1117,7206,1124,7206,1136,7210,1136,7210,1147,7221,1147,7221,1167,7221,1174,7225,1174,7225,1186,7244,1186,7244,1193,7248,1193,7248,1205,7264,1205,7264,1213,7267,1213,7267,1224,7291,1224,7291,1236,7298,1236,7298,1243,7298,1263,7302,1263,7302,1274,7314,1274,7314,1282,7314,1293,7333,1293,7333,1301,7345,1301,7345,1312,7360,1312,7360,1320,7364,1320,7364,1332,7399,1332,7399,1351,7410,1351,7410,1362,7418,1362,7418,1370,7418,1382,7426,1382,7426,1389,7433,1389,7433,1401,7441,1401,7441,1420,7457,1420,7457,1431,7472,1431,7472,1439,7495,1439,7495,1451,7499,1451,7499,1458,7518,1458,7518,1470,7522,1470,7522,1477,7542,1477,7542,1489,7557,1489,7557,1497,7576,1497,7576,1508,7580,1508,7580,1516,7588,1516,7588,1527,7599,1527,7599,1539,7650,1539,7650,1546,7680,1546,7680,1558,7727,1558,7727,1566,7742,1566,7742,1577,7754,1577,7754,1589,7761,1589,7761,1596,7765,1596,7765,1608,7939,1608,7939,1662,8244,1662e" filled="false" stroked="true" strokeweight=".191927pt" strokecolor="#0000ff">
              <v:path arrowok="t"/>
              <v:stroke dashstyle="solid"/>
            </v:shape>
            <v:line style="position:absolute" from="8232,330" to="8344,330" stroked="true" strokeweight=".191216pt" strokecolor="#ff0000">
              <v:stroke dashstyle="solid"/>
            </v:line>
            <v:shape style="position:absolute;left:8178;top:253;width:714;height:223" type="#_x0000_t202" filled="false" stroked="true" strokeweight=".191345pt" strokecolor="#000000">
              <v:textbox inset="0,0,0,0">
                <w:txbxContent>
                  <w:p>
                    <w:pPr>
                      <w:spacing w:line="254" w:lineRule="auto" w:before="45"/>
                      <w:ind w:left="218" w:right="11" w:hanging="166"/>
                      <w:jc w:val="left"/>
                      <w:rPr>
                        <w:rFonts w:ascii="Arial"/>
                        <w:sz w:val="6"/>
                      </w:rPr>
                    </w:pPr>
                    <w:r>
                      <w:rPr>
                        <w:rFonts w:ascii="Arial"/>
                        <w:w w:val="67"/>
                        <w:position w:val="-1"/>
                        <w:sz w:val="7"/>
                        <w:u w:val="single" w:color="0000FF"/>
                      </w:rPr>
                      <w:t> </w:t>
                    </w:r>
                    <w:r>
                      <w:rPr>
                        <w:rFonts w:ascii="Arial"/>
                        <w:position w:val="-1"/>
                        <w:sz w:val="7"/>
                        <w:u w:val="single" w:color="0000FF"/>
                      </w:rPr>
                      <w:t>      </w:t>
                    </w:r>
                    <w:r>
                      <w:rPr>
                        <w:rFonts w:ascii="Arial"/>
                        <w:position w:val="-1"/>
                        <w:sz w:val="7"/>
                      </w:rPr>
                      <w:t>  </w:t>
                    </w:r>
                    <w:r>
                      <w:rPr>
                        <w:rFonts w:ascii="Arial"/>
                        <w:w w:val="105"/>
                        <w:sz w:val="6"/>
                      </w:rPr>
                      <w:t>single position </w:t>
                    </w:r>
                    <w:r>
                      <w:rPr>
                        <w:rFonts w:ascii="Arial"/>
                        <w:sz w:val="6"/>
                      </w:rPr>
                      <w:t>multiple positions</w:t>
                    </w:r>
                  </w:p>
                </w:txbxContent>
              </v:textbox>
              <v:stroke dashstyle="solid"/>
              <w10:wrap type="none"/>
            </v:shape>
            <w10:wrap type="none"/>
          </v:group>
        </w:pict>
      </w:r>
      <w:r>
        <w:rPr/>
        <w:pict>
          <v:shape style="position:absolute;margin-left:72.063843pt;margin-top:43.237034pt;width:5.35pt;height:6.35pt;mso-position-horizontal-relative:page;mso-position-vertical-relative:paragraph;z-index:2104"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0.6</w:t>
                  </w:r>
                </w:p>
              </w:txbxContent>
            </v:textbox>
            <w10:wrap type="none"/>
          </v:shape>
        </w:pict>
      </w:r>
      <w:r>
        <w:rPr/>
        <w:pict>
          <v:shape style="position:absolute;margin-left:72.063843pt;margin-top:25.171984pt;width:5.35pt;height:6.35pt;mso-position-horizontal-relative:page;mso-position-vertical-relative:paragraph;z-index:2128"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0.8</w:t>
                  </w:r>
                </w:p>
              </w:txbxContent>
            </v:textbox>
            <w10:wrap type="none"/>
          </v:shape>
        </w:pict>
      </w:r>
      <w:r>
        <w:rPr/>
        <w:pict>
          <v:shape style="position:absolute;margin-left:190.820953pt;margin-top:42.263023pt;width:4.7pt;height:23.45pt;mso-position-horizontal-relative:page;mso-position-vertical-relative:paragraph;z-index:2464"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Cum survival</w:t>
                  </w:r>
                </w:p>
              </w:txbxContent>
            </v:textbox>
            <w10:wrap type="none"/>
          </v:shape>
        </w:pict>
      </w:r>
      <w:r>
        <w:rPr/>
        <w:pict>
          <v:shape style="position:absolute;margin-left:196.455429pt;margin-top:41.893559pt;width:4.7pt;height:7.1pt;mso-position-horizontal-relative:page;mso-position-vertical-relative:paragraph;z-index:2560"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0.6</w:t>
                  </w:r>
                </w:p>
              </w:txbxContent>
            </v:textbox>
            <w10:wrap type="none"/>
          </v:shape>
        </w:pict>
      </w:r>
      <w:r>
        <w:rPr/>
        <w:pict>
          <v:shape style="position:absolute;margin-left:196.455429pt;margin-top:24.478128pt;width:4.7pt;height:7.1pt;mso-position-horizontal-relative:page;mso-position-vertical-relative:paragraph;z-index:2584"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0.8</w:t>
                  </w:r>
                </w:p>
              </w:txbxContent>
            </v:textbox>
            <w10:wrap type="none"/>
          </v:shape>
        </w:pict>
      </w:r>
      <w:r>
        <w:rPr/>
        <w:pict>
          <v:shape style="position:absolute;margin-left:332.763031pt;margin-top:44.50898pt;width:5.45pt;height:6.2pt;mso-position-horizontal-relative:page;mso-position-vertical-relative:paragraph;z-index:328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0.6</w:t>
                  </w:r>
                </w:p>
              </w:txbxContent>
            </v:textbox>
            <w10:wrap type="none"/>
          </v:shape>
        </w:pict>
      </w:r>
      <w:r>
        <w:rPr/>
        <w:pict>
          <v:shape style="position:absolute;margin-left:332.763031pt;margin-top:27.052896pt;width:5.45pt;height:6.2pt;mso-position-horizontal-relative:page;mso-position-vertical-relative:paragraph;z-index:3304"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0.8</w:t>
                  </w:r>
                </w:p>
              </w:txbxContent>
            </v:textbox>
            <w10:wrap type="none"/>
          </v:shape>
        </w:pict>
      </w:r>
      <w:r>
        <w:rPr/>
        <w:pict>
          <v:shape style="position:absolute;margin-left:332.763031pt;margin-top:9.600637pt;width:5.45pt;height:6.2pt;mso-position-horizontal-relative:page;mso-position-vertical-relative:paragraph;z-index:332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1.0</w:t>
                  </w:r>
                </w:p>
              </w:txbxContent>
            </v:textbox>
            <w10:wrap type="none"/>
          </v:shape>
        </w:pict>
      </w:r>
      <w:r>
        <w:rPr>
          <w:rFonts w:ascii="Arial"/>
          <w:b/>
          <w:w w:val="105"/>
          <w:sz w:val="7"/>
        </w:rPr>
        <w:t>Survival functions(cancer occur positions)</w:t>
      </w:r>
    </w:p>
    <w:p>
      <w:pPr>
        <w:spacing w:after="0"/>
        <w:jc w:val="left"/>
        <w:rPr>
          <w:rFonts w:ascii="Arial"/>
          <w:sz w:val="7"/>
        </w:rPr>
        <w:sectPr>
          <w:type w:val="continuous"/>
          <w:pgSz w:w="11910" w:h="16850"/>
          <w:pgMar w:top="1080" w:bottom="1020" w:left="1060" w:right="0"/>
          <w:cols w:num="3" w:equalWidth="0">
            <w:col w:w="2208" w:space="503"/>
            <w:col w:w="1858" w:space="524"/>
            <w:col w:w="5757"/>
          </w:cols>
        </w:sect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spacing w:before="8"/>
        <w:ind w:left="0"/>
        <w:rPr>
          <w:rFonts w:ascii="Arial"/>
          <w:b/>
          <w:sz w:val="27"/>
        </w:rPr>
      </w:pPr>
    </w:p>
    <w:p>
      <w:pPr>
        <w:spacing w:after="0"/>
        <w:rPr>
          <w:rFonts w:ascii="Arial"/>
          <w:sz w:val="27"/>
        </w:rPr>
        <w:sectPr>
          <w:type w:val="continuous"/>
          <w:pgSz w:w="11910" w:h="16850"/>
          <w:pgMar w:top="1080" w:bottom="1020" w:left="1060" w:right="0"/>
        </w:sectPr>
      </w:pPr>
    </w:p>
    <w:p>
      <w:pPr>
        <w:pStyle w:val="BodyText"/>
        <w:ind w:left="0"/>
        <w:rPr>
          <w:rFonts w:ascii="Arial"/>
          <w:b/>
          <w:sz w:val="6"/>
        </w:rPr>
      </w:pPr>
    </w:p>
    <w:p>
      <w:pPr>
        <w:pStyle w:val="BodyText"/>
        <w:spacing w:before="8"/>
        <w:ind w:left="0"/>
        <w:rPr>
          <w:rFonts w:ascii="Arial"/>
          <w:b/>
          <w:sz w:val="7"/>
        </w:rPr>
      </w:pPr>
    </w:p>
    <w:p>
      <w:pPr>
        <w:spacing w:before="0"/>
        <w:ind w:left="941" w:right="419" w:firstLine="0"/>
        <w:jc w:val="center"/>
        <w:rPr>
          <w:rFonts w:ascii="Arial"/>
          <w:sz w:val="6"/>
        </w:rPr>
      </w:pPr>
      <w:r>
        <w:rPr>
          <w:rFonts w:ascii="Arial"/>
          <w:sz w:val="6"/>
        </w:rPr>
        <w:t>0 500 1000 1500 2000 2500 3000 3500</w:t>
      </w:r>
    </w:p>
    <w:p>
      <w:pPr>
        <w:pStyle w:val="BodyText"/>
        <w:spacing w:before="5"/>
        <w:ind w:left="0"/>
        <w:rPr>
          <w:rFonts w:ascii="Arial"/>
          <w:sz w:val="7"/>
        </w:rPr>
      </w:pPr>
    </w:p>
    <w:p>
      <w:pPr>
        <w:spacing w:before="0"/>
        <w:ind w:left="941" w:right="265" w:firstLine="0"/>
        <w:jc w:val="center"/>
        <w:rPr>
          <w:rFonts w:ascii="Arial"/>
          <w:sz w:val="6"/>
        </w:rPr>
      </w:pPr>
      <w:r>
        <w:rPr>
          <w:rFonts w:ascii="Arial"/>
          <w:sz w:val="6"/>
        </w:rPr>
        <w:t>time(days)</w:t>
      </w:r>
    </w:p>
    <w:p>
      <w:pPr>
        <w:pStyle w:val="BodyText"/>
        <w:spacing w:before="10"/>
        <w:ind w:left="0"/>
        <w:rPr>
          <w:rFonts w:ascii="Arial"/>
          <w:sz w:val="8"/>
        </w:rPr>
      </w:pPr>
      <w:r>
        <w:rPr/>
        <w:br w:type="column"/>
      </w:r>
      <w:r>
        <w:rPr>
          <w:rFonts w:ascii="Arial"/>
          <w:sz w:val="8"/>
        </w:rPr>
      </w:r>
    </w:p>
    <w:p>
      <w:pPr>
        <w:tabs>
          <w:tab w:pos="711" w:val="left" w:leader="none"/>
        </w:tabs>
        <w:spacing w:before="0"/>
        <w:ind w:left="453" w:right="0" w:firstLine="0"/>
        <w:jc w:val="center"/>
        <w:rPr>
          <w:rFonts w:ascii="Arial"/>
          <w:sz w:val="7"/>
        </w:rPr>
      </w:pPr>
      <w:r>
        <w:rPr/>
        <w:pict>
          <v:shape style="position:absolute;margin-left:64.956673pt;margin-top:-60.41114pt;width:5.35pt;height:20.350pt;mso-position-horizontal-relative:page;mso-position-vertical-relative:paragraph;z-index:1720"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Cum survival</w:t>
                  </w:r>
                </w:p>
              </w:txbxContent>
            </v:textbox>
            <w10:wrap type="none"/>
          </v:shape>
        </w:pict>
      </w:r>
      <w:r>
        <w:rPr/>
        <w:pict>
          <v:shape style="position:absolute;margin-left:72.063843pt;margin-top:-8.298555pt;width:5.35pt;height:6.35pt;mso-position-horizontal-relative:page;mso-position-vertical-relative:paragraph;z-index:2032"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0.0</w:t>
                  </w:r>
                </w:p>
              </w:txbxContent>
            </v:textbox>
            <w10:wrap type="none"/>
          </v:shape>
        </w:pict>
      </w:r>
      <w:r>
        <w:rPr/>
        <w:pict>
          <v:shape style="position:absolute;margin-left:72.063843pt;margin-top:-26.161762pt;width:5.35pt;height:6.35pt;mso-position-horizontal-relative:page;mso-position-vertical-relative:paragraph;z-index:2056"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0.2</w:t>
                  </w:r>
                </w:p>
              </w:txbxContent>
            </v:textbox>
            <w10:wrap type="none"/>
          </v:shape>
        </w:pict>
      </w:r>
      <w:r>
        <w:rPr/>
        <w:pict>
          <v:shape style="position:absolute;margin-left:72.063843pt;margin-top:-44.22681pt;width:5.35pt;height:6.35pt;mso-position-horizontal-relative:page;mso-position-vertical-relative:paragraph;z-index:2080" type="#_x0000_t202" filled="false" stroked="false">
            <v:textbox inset="0,0,0,0" style="layout-flow:vertical;mso-layout-flow-alt:bottom-to-top">
              <w:txbxContent>
                <w:p>
                  <w:pPr>
                    <w:spacing w:before="18"/>
                    <w:ind w:left="20" w:right="0" w:firstLine="0"/>
                    <w:jc w:val="left"/>
                    <w:rPr>
                      <w:rFonts w:ascii="Arial"/>
                      <w:sz w:val="6"/>
                    </w:rPr>
                  </w:pPr>
                  <w:r>
                    <w:rPr>
                      <w:rFonts w:ascii="Arial"/>
                      <w:w w:val="105"/>
                      <w:sz w:val="6"/>
                    </w:rPr>
                    <w:t>0.4</w:t>
                  </w:r>
                </w:p>
              </w:txbxContent>
            </v:textbox>
            <w10:wrap type="none"/>
          </v:shape>
        </w:pict>
      </w:r>
      <w:r>
        <w:rPr/>
        <w:pict>
          <v:shape style="position:absolute;margin-left:196.455429pt;margin-top:-11.845379pt;width:4.7pt;height:7.1pt;mso-position-horizontal-relative:page;mso-position-vertical-relative:paragraph;z-index:2488"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0.0</w:t>
                  </w:r>
                </w:p>
              </w:txbxContent>
            </v:textbox>
            <w10:wrap type="none"/>
          </v:shape>
        </w:pict>
      </w:r>
      <w:r>
        <w:rPr/>
        <w:pict>
          <v:shape style="position:absolute;margin-left:196.455429pt;margin-top:-29.260805pt;width:4.7pt;height:7.1pt;mso-position-horizontal-relative:page;mso-position-vertical-relative:paragraph;z-index:2512"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0.2</w:t>
                  </w:r>
                </w:p>
              </w:txbxContent>
            </v:textbox>
            <w10:wrap type="none"/>
          </v:shape>
        </w:pict>
      </w:r>
      <w:r>
        <w:rPr/>
        <w:pict>
          <v:shape style="position:absolute;margin-left:196.455429pt;margin-top:-46.449398pt;width:4.7pt;height:7.1pt;mso-position-horizontal-relative:page;mso-position-vertical-relative:paragraph;z-index:2536" type="#_x0000_t202" filled="false" stroked="false">
            <v:textbox inset="0,0,0,0" style="layout-flow:vertical;mso-layout-flow-alt:bottom-to-top">
              <w:txbxContent>
                <w:p>
                  <w:pPr>
                    <w:spacing w:before="25"/>
                    <w:ind w:left="20" w:right="0" w:firstLine="0"/>
                    <w:jc w:val="left"/>
                    <w:rPr>
                      <w:rFonts w:ascii="Arial"/>
                      <w:sz w:val="4"/>
                    </w:rPr>
                  </w:pPr>
                  <w:r>
                    <w:rPr>
                      <w:rFonts w:ascii="Arial"/>
                      <w:w w:val="185"/>
                      <w:sz w:val="4"/>
                    </w:rPr>
                    <w:t>0.4</w:t>
                  </w:r>
                </w:p>
              </w:txbxContent>
            </v:textbox>
            <w10:wrap type="none"/>
          </v:shape>
        </w:pict>
      </w:r>
      <w:r>
        <w:rPr/>
        <w:pict>
          <v:shape style="position:absolute;margin-left:325.427765pt;margin-top:-59.20253pt;width:5.45pt;height:19.75pt;mso-position-horizontal-relative:page;mso-position-vertical-relative:paragraph;z-index:313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Cum survival</w:t>
                  </w:r>
                </w:p>
              </w:txbxContent>
            </v:textbox>
            <w10:wrap type="none"/>
          </v:shape>
        </w:pict>
      </w:r>
      <w:r>
        <w:rPr/>
        <w:pict>
          <v:shape style="position:absolute;margin-left:332.763031pt;margin-top:-8.846642pt;width:5.45pt;height:6.2pt;mso-position-horizontal-relative:page;mso-position-vertical-relative:paragraph;z-index:320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0.0</w:t>
                  </w:r>
                </w:p>
              </w:txbxContent>
            </v:textbox>
            <w10:wrap type="none"/>
          </v:shape>
        </w:pict>
      </w:r>
      <w:r>
        <w:rPr/>
        <w:pict>
          <v:shape style="position:absolute;margin-left:332.763031pt;margin-top:-26.107685pt;width:5.45pt;height:6.2pt;mso-position-horizontal-relative:page;mso-position-vertical-relative:paragraph;z-index:3232"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0.2</w:t>
                  </w:r>
                </w:p>
              </w:txbxContent>
            </v:textbox>
            <w10:wrap type="none"/>
          </v:shape>
        </w:pict>
      </w:r>
      <w:r>
        <w:rPr/>
        <w:pict>
          <v:shape style="position:absolute;margin-left:332.763031pt;margin-top:-43.563766pt;width:5.45pt;height:6.2pt;mso-position-horizontal-relative:page;mso-position-vertical-relative:paragraph;z-index:325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0.4</w:t>
                  </w:r>
                </w:p>
              </w:txbxContent>
            </v:textbox>
            <w10:wrap type="none"/>
          </v:shape>
        </w:pict>
      </w:r>
      <w:r>
        <w:rPr>
          <w:rFonts w:ascii="Arial"/>
          <w:w w:val="80"/>
          <w:sz w:val="7"/>
        </w:rPr>
        <w:t>0</w:t>
        <w:tab/>
        <w:t>500 1000 1500 2000 2500 3000</w:t>
      </w:r>
      <w:r>
        <w:rPr>
          <w:rFonts w:ascii="Arial"/>
          <w:spacing w:val="10"/>
          <w:w w:val="80"/>
          <w:sz w:val="7"/>
        </w:rPr>
        <w:t> </w:t>
      </w:r>
      <w:r>
        <w:rPr>
          <w:rFonts w:ascii="Arial"/>
          <w:w w:val="80"/>
          <w:sz w:val="7"/>
        </w:rPr>
        <w:t>3500</w:t>
      </w:r>
    </w:p>
    <w:p>
      <w:pPr>
        <w:pStyle w:val="BodyText"/>
        <w:spacing w:before="9"/>
        <w:ind w:left="0"/>
        <w:rPr>
          <w:rFonts w:ascii="Arial"/>
          <w:sz w:val="8"/>
        </w:rPr>
      </w:pPr>
    </w:p>
    <w:p>
      <w:pPr>
        <w:spacing w:before="0"/>
        <w:ind w:left="634" w:right="0" w:firstLine="0"/>
        <w:jc w:val="center"/>
        <w:rPr>
          <w:rFonts w:ascii="Arial"/>
          <w:sz w:val="7"/>
        </w:rPr>
      </w:pPr>
      <w:r>
        <w:rPr/>
        <w:pict>
          <v:group style="position:absolute;margin-left:78.198326pt;margin-top:-107.989525pt;width:104.25pt;height:99.35pt;mso-position-horizontal-relative:page;mso-position-vertical-relative:paragraph;z-index:1240" coordorigin="1564,-2160" coordsize="2085,1987">
            <v:shape style="position:absolute;left:1381;top:-4071;width:11158;height:10031" coordorigin="1382,-4070" coordsize="11158,10031" path="m1598,-209l3445,-209m1598,-209l1598,-173m1863,-209l1863,-173m2125,-209l2125,-173m2390,-209l2390,-173m2652,-209l2652,-173m2918,-209l2918,-173m3179,-209l3179,-173m3445,-209l3445,-173m1598,-284l1598,-2086m1598,-284l1564,-284m1598,-641l1564,-641m1598,-1003l1564,-1003m1598,-1364l1564,-1364m1598,-1725l1564,-1725m1598,-2086l1564,-2086m1598,-209l3647,-209,3647,-2158,1598,-2158,1598,-209e" filled="false" stroked="true" strokeweight=".192277pt" strokecolor="#000000">
              <v:path arrowok="t"/>
              <v:stroke dashstyle="solid"/>
            </v:shape>
            <v:shape style="position:absolute;left:1597;top:-2087;width:1504;height:1235" coordorigin="1598,-2086" coordsize="1504,1235" path="m1598,-2086l1639,-2086,1639,-2079,1639,-2071,1646,-2071,1646,-2067,1646,-2059,1654,-2059,1654,-2051,1657,-2051,1657,-2043,1661,-2043,1661,-2039,1665,-2039,1665,-2031,1672,-2031,1672,-2023,1672,-2015,1676,-2015,1676,-2003,1676,-1995,1684,-1995,1684,-1987,1695,-1987,1695,-1975,1695,-1967,1695,-1959,1699,-1959,1699,-1951,1699,-1948,1699,-1940,1699,-1932,1699,-1916,1699,-1912,1702,-1912,1702,-1904,1710,-1904,1710,-1896,1710,-1888,1717,-1888,1717,-1880,1721,-1880,1721,-1872,1725,-1872,1725,-1860,1729,-1860,1729,-1852,1729,-1844,1740,-1844,1740,-1836,1740,-1828,1743,-1828,1743,-1820,1743,-1817,1751,-1817,1751,-1809,1751,-1801,1751,-1793,1758,-1793,1758,-1785,1762,-1785,1762,-1777,1762,-1769,1766,-1769,1766,-1761,1773,-1761,1773,-1753,1777,-1753,1777,-1749,1777,-1741,1781,-1741,1781,-1725,1792,-1725,1792,-1701,1803,-1701,1803,-1693,1803,-1686,1807,-1686,1807,-1682,1807,-1674,1811,-1674,1811,-1666,1815,-1666,1815,-1658,1815,-1650,1818,-1650,1818,-1642,1822,-1642,1822,-1634,1829,-1634,1829,-1626,1829,-1618,1829,-1610,1833,-1610,1833,-1606,1833,-1598,1833,-1590,1833,-1582,1837,-1582,1837,-1574,1841,-1574,1841,-1566,1841,-1558,1852,-1558,1852,-1550,1852,-1543,1859,-1543,1859,-1535,1859,-1527,1863,-1527,1863,-1519,1871,-1519,1871,-1511,1871,-1507,1874,-1507,1874,-1499,1878,-1499,1878,-1491,1882,-1491,1882,-1483,1882,-1467,1889,-1467,1889,-1459,1889,-1451,1893,-1451,1893,-1443,1900,-1443,1900,-1435,1912,-1435,1912,-1427,1915,-1427,1915,-1419,1915,-1412,1919,-1412,1919,-1404,1919,-1396,1927,-1396,1927,-1388,1930,-1388,1930,-1380,1934,-1380,1934,-1372,1945,-1372,1945,-1364,1949,-1364,1949,-1356,1953,-1356,1953,-1344,1953,-1336,1957,-1336,1957,-1328,1960,-1328,1960,-1320,1964,-1320,1964,-1312,1964,-1304,1968,-1304,1968,-1296,1975,-1296,1975,-1288,1975,-1280,1987,-1280,1987,-1273,1987,-1265,2001,-1265,2001,-1257,2005,-1257,2005,-1249,2009,-1249,2009,-1241,2013,-1241,2013,-1233,2016,-1233,2016,-1225,2016,-1205,2031,-1205,2031,-1197,2035,-1197,2035,-1189,2035,-1181,2039,-1181,2039,-1173,2046,-1173,2046,-1165,2046,-1157,2061,-1157,2061,-1149,2069,-1149,2069,-1134,2073,-1134,2073,-1114,2076,-1114,2076,-1106,2080,-1106,2080,-1098,2087,-1098,2087,-1090,2091,-1090,2091,-1082,2099,-1082,2099,-1074,2106,-1074,2106,-1066,2121,-1066,2121,-1058,2125,-1058,2125,-1046,2129,-1046,2129,-1038,2129,-1030,2147,-1030,2147,-1022,2181,-1022,2181,-1015,2188,-1015,2188,-1007,2200,-1007,2200,-995,2207,-995,2207,-987,2215,-987,2215,-979,2230,-979,2230,-971,2245,-971,2245,-959,2274,-959,2274,-951,2286,-951,2286,-943,2312,-943,2312,-931,2316,-931,2316,-923,2316,-915,2327,-915,2327,-907,2334,-907,2334,-895,2346,-895,2346,-887,2353,-887,2353,-880,2375,-880,2375,-872,2405,-872,2405,-860,2461,-860,2461,-852,3101,-852e" filled="false" stroked="true" strokeweight=".193366pt" strokecolor="#0000ff">
              <v:path arrowok="t"/>
              <v:stroke dashstyle="solid"/>
            </v:shape>
            <v:shape style="position:absolute;left:1597;top:-2087;width:1971;height:1592" coordorigin="1598,-2086" coordsize="1971,1592" path="m1598,-2086l1613,-2086,1613,-2082,1613,-2079,1616,-2079,1616,-2075,1624,-2075,1628,-2075,1628,-2071,1635,-2071,1635,-2067,1639,-2067,1639,-2063,1639,-2059,1643,-2059,1643,-2055,1643,-2051,1646,-2051,1646,-2047,1650,-2047,1650,-2043,1650,-2039,1650,-2035,1654,-2035,1661,-2035,1661,-2031,1665,-2031,1665,-2027,1669,-2027,1669,-2023,1669,-2019,1672,-2019,1672,-2015,1672,-2011,1676,-2011,1676,-2007,1676,-2003,1680,-2003,1680,-1999,1684,-1999,1684,-1995,1684,-1991,1687,-1991,1687,-1987,1687,-1983,1691,-1983,1691,-1979,1695,-1979,1695,-1975,1699,-1975,1699,-1971,1699,-1967,1702,-1967,1702,-1959,1702,-1955,1706,-1955,1706,-1951,1706,-1948,1710,-1948,1714,-1948,1714,-1940,1717,-1940,1717,-1936,1717,-1932,1725,-1932,1725,-1928,1729,-1928,1729,-1924,1729,-1916,1729,-1912,1732,-1912,1732,-1908,1732,-1904,1732,-1900,1736,-1900,1736,-1896,1736,-1892,1736,-1888,1740,-1888,1740,-1884,1740,-1880,1740,-1876,1743,-1876,1743,-1872,1743,-1868,1747,-1868,1747,-1864,1747,-1860,1751,-1860,1751,-1852,1755,-1852,1755,-1848,1755,-1844,1755,-1840,1758,-1840,1758,-1836,1758,-1832,1766,-1832,1766,-1828,1766,-1824,1770,-1824,1770,-1820,1770,-1817,1770,-1813,1770,-1809,1773,-1809,1773,-1805,1777,-1805,1777,-1801,1777,-1797,1781,-1797,1781,-1793,1781,-1789,1781,-1785,1785,-1785,1785,-1777,1785,-1769,1788,-1769,1788,-1765,1788,-1761,1792,-1761,1792,-1753,1792,-1745,1792,-1741,1796,-1741,1800,-1741,1800,-1733,1800,-1729,1803,-1729,1803,-1725,1807,-1725,1807,-1721,1807,-1717,1811,-1717,1811,-1709,1811,-1705,1811,-1701,1815,-1701,1815,-1697,1815,-1693,1822,-1693,1822,-1689,1822,-1686,1826,-1686,1826,-1682,1826,-1677,1829,-1677,1829,-1670,1829,-1666,1833,-1666,1833,-1662,1837,-1662,1837,-1658,1844,-1658,1844,-1654,1844,-1650,1848,-1650,1848,-1646,1848,-1642,1852,-1642,1852,-1638,1852,-1634,1856,-1634,1856,-1630,1859,-1630,1859,-1626,1863,-1626,1863,-1622,1867,-1622,1867,-1618,1867,-1614,1871,-1614,1871,-1610,1871,-1606,1871,-1602,1871,-1598,1871,-1594,1874,-1594,1874,-1590,1874,-1586,1874,-1582,1878,-1582,1878,-1578,1882,-1578,1882,-1574,1886,-1574,1886,-1570,1886,-1566,1886,-1562,1889,-1562,1889,-1555,1893,-1555,1893,-1550,1893,-1546,1897,-1546,1897,-1543,1900,-1543,1900,-1535,1900,-1531,1904,-1531,1904,-1527,1908,-1527,1908,-1523,1908,-1519,1912,-1519,1912,-1515,1915,-1515,1915,-1511,1919,-1511,1919,-1507,1919,-1503,1919,-1499,1923,-1499,1923,-1491,1927,-1491,1927,-1487,1927,-1483,1927,-1479,1930,-1479,1930,-1475,1934,-1475,1934,-1471,1938,-1471,1938,-1467,1942,-1467,1942,-1463,1949,-1463,1949,-1459,1949,-1455,1949,-1451,1953,-1451,1953,-1447,1957,-1447,1957,-1443,1957,-1439,1960,-1439,1960,-1435,1964,-1435,1964,-1431,1964,-1427,1968,-1427,1968,-1423,1968,-1419,1968,-1415,1972,-1415,1972,-1412,1975,-1412,1975,-1408,1975,-1404,1979,-1404,1979,-1400,1983,-1400,1983,-1396,1987,-1396,1987,-1392,1987,-1388,1990,-1388,1990,-1380,1990,-1376,1990,-1372,1994,-1372,1994,-1368,1994,-1364,1994,-1360,1998,-1360,1998,-1356,1998,-1352,2001,-1352,2001,-1348,2001,-1344,2005,-1344,2005,-1340,2009,-1340,2009,-1332,2009,-1328,2013,-1328,2013,-1324,2016,-1324,2016,-1320,2020,-1320,2020,-1316,2020,-1312,2028,-1312,2028,-1304,2031,-1304,2031,-1300,2035,-1300,2035,-1296,2035,-1292,2039,-1292,2039,-1288,2039,-1284,2043,-1284,2043,-1280,2043,-1273,2050,-1273,2050,-1269,2054,-1269,2054,-1265,2054,-1261,2058,-1261,2058,-1257,2065,-1257,2065,-1253,2065,-1245,2080,-1245,2080,-1241,2080,-1237,2084,-1237,2084,-1233,2084,-1229,2091,-1229,2091,-1225,2095,-1225,2095,-1221,2095,-1217,2095,-1213,2099,-1213,2099,-1209,2099,-1205,2099,-1201,2102,-1201,2102,-1197,2110,-1197,2110,-1193,2110,-1189,2114,-1189,2114,-1185,2117,-1185,2121,-1185,2121,-1181,2136,-1181,2136,-1177,2140,-1177,2140,-1173,2140,-1169,2144,-1169,2144,-1165,2144,-1161,2147,-1161,2147,-1157,2151,-1157,2151,-1153,2151,-1149,2162,-1149,2162,-1146,2162,-1138,2166,-1138,2166,-1134,2170,-1134,2170,-1130,2174,-1130,2174,-1126,2174,-1118,2177,-1118,2177,-1114,2181,-1114,2181,-1110,2185,-1110,2185,-1102,2185,-1098,2188,-1098,2188,-1094,2192,-1094,2192,-1090,2192,-1086,2196,-1086,2196,-1082,2203,-1082,2203,-1078,2215,-1078,2215,-1074,2218,-1074,2218,-1070,2218,-1066,2222,-1066,2222,-1062,2230,-1062,2230,-1058,2233,-1058,2233,-1046,2241,-1046,2241,-1042,2252,-1042,2252,-1038,2252,-1034,2256,-1034,2256,-1030,2259,-1030,2259,-1026,2267,-1026,2267,-1022,2267,-1018,2274,-1018,2274,-1011,2278,-1011,2282,-1011,2282,-1007,2293,-1007,2293,-1003,2293,-999,2293,-995,2301,-995,2301,-991,2304,-991,2304,-987,2308,-987,2308,-983,2319,-983,2319,-979,2319,-975,2327,-975,2327,-971,2338,-971,2338,-967,2346,-967,2349,-967,2349,-963,2349,-959,2353,-959,2353,-955,2368,-955,2368,-951,2368,-947,2372,-947,2372,-943,2379,-943,2379,-939,2379,-935,2379,-931,2387,-931,2387,-927,2409,-927,2409,-923,2428,-923,2431,-923,2431,-919,2435,-919,2435,-915,2439,-915,2439,-911,2439,-907,2446,-907,2446,-903,2450,-903,2450,-899,2450,-895,2454,-895,2454,-891,2480,-891,2480,-887,2480,-884,2495,-884,2495,-880,2506,-880,2506,-876,2518,-876,2518,-872,2532,-872,2532,-864,2540,-864,2540,-860,2615,-860,2615,-848,2645,-848,2645,-836,2663,-836,2663,-824,2667,-824,2667,-812,2686,-812,2686,-796,2749,-796,2749,-776,2873,-776,2873,-729,3011,-729,3011,-665,3104,-665,3104,-602,3303,-602,3303,-494,3568,-494e" filled="false" stroked="true" strokeweight=".193456pt" strokecolor="#ff0000">
              <v:path arrowok="t"/>
              <v:stroke dashstyle="solid"/>
            </v:shape>
            <v:shape style="position:absolute;left:1597;top:-2087;width:1451;height:1803" coordorigin="1598,-2086" coordsize="1451,1803" path="m1598,-2086l1605,-2086,1605,-2075,1609,-2075,1609,-2063,1609,-2039,1620,-2039,1620,-2027,1624,-2027,1624,-2015,1646,-2015,1646,-1999,1657,-1999,1657,-1987,1661,-1987,1661,-1975,1665,-1975,1665,-1948,1665,-1932,1665,-1920,1669,-1920,1669,-1908,1676,-1908,1676,-1892,1676,-1880,1680,-1880,1680,-1864,1687,-1864,1687,-1840,1687,-1824,1695,-1824,1695,-1813,1699,-1813,1699,-1797,1702,-1797,1702,-1785,1702,-1769,1710,-1769,1710,-1741,1710,-1729,1717,-1729,1717,-1713,1717,-1701,1717,-1686,1725,-1686,1725,-1674,1729,-1674,1729,-1658,1729,-1646,1729,-1630,1732,-1630,1732,-1614,1743,-1614,1743,-1602,1743,-1586,1747,-1586,1747,-1574,1751,-1574,1751,-1558,1755,-1558,1755,-1546,1755,-1531,1755,-1519,1770,-1519,1770,-1503,1773,-1503,1773,-1487,1781,-1487,1781,-1475,1785,-1475,1785,-1459,1785,-1443,1792,-1443,1792,-1431,1792,-1415,1796,-1415,1796,-1400,1800,-1400,1800,-1384,1807,-1384,1807,-1372,1811,-1372,1811,-1356,1815,-1356,1815,-1340,1826,-1340,1826,-1328,1837,-1328,1837,-1312,1837,-1296,1852,-1296,1852,-1280,1856,-1280,1856,-1265,1859,-1265,1859,-1249,1867,-1249,1867,-1233,1878,-1233,1878,-1217,1889,-1217,1889,-1205,1897,-1205,1897,-1189,1897,-1173,1919,-1173,1919,-1157,1927,-1157,1927,-1142,1953,-1142,1953,-1126,1972,-1126,1972,-1110,1972,-1098,1979,-1098,1979,-1082,1983,-1082,1983,-1066,1987,-1066,1987,-1050,1990,-1050,1990,-1034,1990,-1018,2016,-1018,2016,-1003,2054,-1003,2054,-983,2058,-983,2058,-967,2132,-967,2132,-951,2147,-951,2147,-935,2203,-935,2203,-919,2207,-919,2207,-899,2226,-899,2226,-884,2230,-884,2230,-868,2357,-868,2357,-852,2360,-852,2360,-832,2514,-832,2514,-816,2518,-816,2518,-800,2529,-800,2529,-780,3048,-780,3048,-284e" filled="false" stroked="true" strokeweight=".191078pt" strokecolor="#ff00ff">
              <v:path arrowok="t"/>
              <v:stroke dashstyle="solid"/>
            </v:shape>
            <v:line style="position:absolute" from="2865,-2007" to="2974,-2007" stroked="true" strokeweight=".197886pt" strokecolor="#ff0000">
              <v:stroke dashstyle="solid"/>
            </v:line>
            <v:shape style="position:absolute;left:2809;top:-2087;width:804;height:306" type="#_x0000_t202" filled="false" stroked="true" strokeweight=".196608pt" strokecolor="#000000">
              <v:textbox inset="0,0,0,0">
                <w:txbxContent>
                  <w:p>
                    <w:pPr>
                      <w:spacing w:before="49"/>
                      <w:ind w:left="54" w:right="0" w:firstLine="0"/>
                      <w:jc w:val="left"/>
                      <w:rPr>
                        <w:rFonts w:ascii="Arial"/>
                        <w:sz w:val="6"/>
                      </w:rPr>
                    </w:pPr>
                    <w:r>
                      <w:rPr>
                        <w:rFonts w:ascii="Arial"/>
                        <w:w w:val="99"/>
                        <w:sz w:val="6"/>
                        <w:u w:val="single" w:color="0000FF"/>
                      </w:rPr>
                      <w:t> </w:t>
                    </w:r>
                    <w:r>
                      <w:rPr>
                        <w:rFonts w:ascii="Arial"/>
                        <w:sz w:val="6"/>
                        <w:u w:val="single" w:color="0000FF"/>
                      </w:rPr>
                      <w:t>      </w:t>
                    </w:r>
                    <w:r>
                      <w:rPr>
                        <w:rFonts w:ascii="Arial"/>
                        <w:sz w:val="6"/>
                      </w:rPr>
                      <w:t>  adenocarcinoma</w:t>
                    </w:r>
                  </w:p>
                  <w:p>
                    <w:pPr>
                      <w:spacing w:line="276" w:lineRule="auto" w:before="6"/>
                      <w:ind w:left="214" w:right="0" w:hanging="161"/>
                      <w:jc w:val="left"/>
                      <w:rPr>
                        <w:rFonts w:ascii="Arial"/>
                        <w:sz w:val="6"/>
                      </w:rPr>
                    </w:pPr>
                    <w:r>
                      <w:rPr>
                        <w:rFonts w:ascii="Arial"/>
                        <w:w w:val="99"/>
                        <w:sz w:val="6"/>
                        <w:u w:val="single" w:color="FF00FF"/>
                      </w:rPr>
                      <w:t> </w:t>
                    </w:r>
                    <w:r>
                      <w:rPr>
                        <w:rFonts w:ascii="Arial"/>
                        <w:sz w:val="6"/>
                        <w:u w:val="single" w:color="FF00FF"/>
                      </w:rPr>
                      <w:t>      </w:t>
                    </w:r>
                    <w:r>
                      <w:rPr>
                        <w:rFonts w:ascii="Arial"/>
                        <w:sz w:val="6"/>
                      </w:rPr>
                      <w:t>  </w:t>
                    </w:r>
                    <w:r>
                      <w:rPr>
                        <w:rFonts w:ascii="Arial"/>
                        <w:w w:val="95"/>
                        <w:sz w:val="6"/>
                      </w:rPr>
                      <w:t>squamous carcinoma </w:t>
                    </w:r>
                    <w:r>
                      <w:rPr>
                        <w:rFonts w:ascii="Arial"/>
                        <w:sz w:val="6"/>
                      </w:rPr>
                      <w:t>others</w:t>
                    </w:r>
                  </w:p>
                </w:txbxContent>
              </v:textbox>
              <v:stroke dashstyle="solid"/>
              <w10:wrap type="none"/>
            </v:shape>
            <w10:wrap type="none"/>
          </v:group>
        </w:pict>
      </w:r>
      <w:r>
        <w:rPr>
          <w:rFonts w:ascii="Arial"/>
          <w:w w:val="80"/>
          <w:sz w:val="7"/>
        </w:rPr>
        <w:t>time(days)</w:t>
      </w:r>
    </w:p>
    <w:p>
      <w:pPr>
        <w:pStyle w:val="BodyText"/>
        <w:ind w:left="0"/>
        <w:rPr>
          <w:rFonts w:ascii="Arial"/>
          <w:sz w:val="6"/>
        </w:rPr>
      </w:pPr>
      <w:r>
        <w:rPr/>
        <w:br w:type="column"/>
      </w:r>
      <w:r>
        <w:rPr>
          <w:rFonts w:ascii="Arial"/>
          <w:sz w:val="6"/>
        </w:rPr>
      </w:r>
    </w:p>
    <w:p>
      <w:pPr>
        <w:pStyle w:val="BodyText"/>
        <w:ind w:left="0"/>
        <w:rPr>
          <w:rFonts w:ascii="Arial"/>
          <w:sz w:val="6"/>
        </w:rPr>
      </w:pPr>
    </w:p>
    <w:p>
      <w:pPr>
        <w:tabs>
          <w:tab w:pos="239" w:val="left" w:leader="none"/>
        </w:tabs>
        <w:spacing w:before="0"/>
        <w:ind w:left="0" w:right="2589" w:firstLine="0"/>
        <w:jc w:val="center"/>
        <w:rPr>
          <w:rFonts w:ascii="Arial"/>
          <w:sz w:val="6"/>
        </w:rPr>
      </w:pPr>
      <w:r>
        <w:rPr>
          <w:rFonts w:ascii="Arial"/>
          <w:w w:val="105"/>
          <w:sz w:val="6"/>
        </w:rPr>
        <w:t>0</w:t>
        <w:tab/>
        <w:t>500 1000 1500 2000 2500 3000</w:t>
      </w:r>
      <w:r>
        <w:rPr>
          <w:rFonts w:ascii="Arial"/>
          <w:spacing w:val="12"/>
          <w:w w:val="105"/>
          <w:sz w:val="6"/>
        </w:rPr>
        <w:t> </w:t>
      </w:r>
      <w:r>
        <w:rPr>
          <w:rFonts w:ascii="Arial"/>
          <w:w w:val="105"/>
          <w:sz w:val="6"/>
        </w:rPr>
        <w:t>3500</w:t>
      </w:r>
    </w:p>
    <w:p>
      <w:pPr>
        <w:pStyle w:val="BodyText"/>
        <w:ind w:left="0"/>
        <w:rPr>
          <w:rFonts w:ascii="Arial"/>
          <w:sz w:val="7"/>
        </w:rPr>
      </w:pPr>
    </w:p>
    <w:p>
      <w:pPr>
        <w:spacing w:before="0"/>
        <w:ind w:left="0" w:right="2430" w:firstLine="0"/>
        <w:jc w:val="center"/>
        <w:rPr>
          <w:rFonts w:ascii="Arial"/>
          <w:sz w:val="6"/>
        </w:rPr>
      </w:pPr>
      <w:r>
        <w:rPr>
          <w:rFonts w:ascii="Arial"/>
          <w:w w:val="105"/>
          <w:sz w:val="6"/>
        </w:rPr>
        <w:t>time(days)</w:t>
      </w:r>
    </w:p>
    <w:p>
      <w:pPr>
        <w:spacing w:after="0"/>
        <w:jc w:val="center"/>
        <w:rPr>
          <w:rFonts w:ascii="Arial"/>
          <w:sz w:val="6"/>
        </w:rPr>
        <w:sectPr>
          <w:type w:val="continuous"/>
          <w:pgSz w:w="11910" w:h="16850"/>
          <w:pgMar w:top="1080" w:bottom="1020" w:left="1060" w:right="0"/>
          <w:cols w:num="3" w:equalWidth="0">
            <w:col w:w="2453" w:space="40"/>
            <w:col w:w="2580" w:space="145"/>
            <w:col w:w="5632"/>
          </w:cols>
        </w:sectPr>
      </w:pPr>
    </w:p>
    <w:p>
      <w:pPr>
        <w:pStyle w:val="BodyText"/>
        <w:spacing w:before="10"/>
        <w:ind w:left="0"/>
        <w:rPr>
          <w:rFonts w:ascii="Arial"/>
          <w:sz w:val="15"/>
        </w:rPr>
      </w:pPr>
    </w:p>
    <w:p>
      <w:pPr>
        <w:tabs>
          <w:tab w:pos="3402" w:val="left" w:leader="none"/>
          <w:tab w:pos="6431" w:val="left" w:leader="none"/>
        </w:tabs>
        <w:spacing w:before="0"/>
        <w:ind w:left="817" w:right="0" w:firstLine="0"/>
        <w:jc w:val="left"/>
        <w:rPr>
          <w:sz w:val="15"/>
        </w:rPr>
      </w:pPr>
      <w:r>
        <w:rPr>
          <w:sz w:val="15"/>
        </w:rPr>
        <w:t>图</w:t>
      </w:r>
      <w:r>
        <w:rPr>
          <w:rFonts w:ascii="Times New Roman" w:eastAsia="Times New Roman"/>
          <w:sz w:val="15"/>
        </w:rPr>
        <w:t>1D </w:t>
      </w:r>
      <w:r>
        <w:rPr>
          <w:rFonts w:ascii="Times New Roman" w:eastAsia="Times New Roman"/>
          <w:spacing w:val="1"/>
          <w:sz w:val="15"/>
        </w:rPr>
        <w:t> </w:t>
      </w:r>
      <w:r>
        <w:rPr>
          <w:spacing w:val="-3"/>
          <w:sz w:val="15"/>
        </w:rPr>
        <w:t>癌</w:t>
      </w:r>
      <w:r>
        <w:rPr>
          <w:sz w:val="15"/>
        </w:rPr>
        <w:t>症</w:t>
      </w:r>
      <w:r>
        <w:rPr>
          <w:spacing w:val="-3"/>
          <w:sz w:val="15"/>
        </w:rPr>
        <w:t>类</w:t>
      </w:r>
      <w:r>
        <w:rPr>
          <w:sz w:val="15"/>
        </w:rPr>
        <w:t>型</w:t>
        <w:tab/>
      </w:r>
      <w:r>
        <w:rPr>
          <w:spacing w:val="-3"/>
          <w:sz w:val="15"/>
        </w:rPr>
        <w:t>图</w:t>
      </w:r>
      <w:r>
        <w:rPr>
          <w:rFonts w:ascii="Times New Roman" w:eastAsia="Times New Roman"/>
          <w:sz w:val="15"/>
        </w:rPr>
        <w:t>1E</w:t>
      </w:r>
      <w:r>
        <w:rPr>
          <w:rFonts w:ascii="Times New Roman" w:eastAsia="Times New Roman"/>
          <w:spacing w:val="-1"/>
          <w:sz w:val="15"/>
        </w:rPr>
        <w:t> </w:t>
      </w:r>
      <w:r>
        <w:rPr>
          <w:rFonts w:ascii="Times New Roman" w:eastAsia="Times New Roman"/>
          <w:sz w:val="15"/>
        </w:rPr>
        <w:t>KPS</w:t>
      </w:r>
      <w:r>
        <w:rPr>
          <w:sz w:val="15"/>
        </w:rPr>
        <w:t>评分</w:t>
        <w:tab/>
      </w:r>
      <w:r>
        <w:rPr>
          <w:spacing w:val="-3"/>
          <w:sz w:val="15"/>
        </w:rPr>
        <w:t>图</w:t>
      </w:r>
      <w:r>
        <w:rPr>
          <w:rFonts w:ascii="Times New Roman" w:eastAsia="Times New Roman"/>
          <w:sz w:val="15"/>
        </w:rPr>
        <w:t>1F</w:t>
      </w:r>
      <w:r>
        <w:rPr>
          <w:rFonts w:ascii="Times New Roman" w:eastAsia="Times New Roman"/>
          <w:spacing w:val="36"/>
          <w:sz w:val="15"/>
        </w:rPr>
        <w:t> </w:t>
      </w:r>
      <w:r>
        <w:rPr>
          <w:sz w:val="15"/>
        </w:rPr>
        <w:t>发</w:t>
      </w:r>
      <w:r>
        <w:rPr>
          <w:spacing w:val="-3"/>
          <w:sz w:val="15"/>
        </w:rPr>
        <w:t>生</w:t>
      </w:r>
      <w:r>
        <w:rPr>
          <w:sz w:val="15"/>
        </w:rPr>
        <w:t>部位</w:t>
      </w:r>
    </w:p>
    <w:p>
      <w:pPr>
        <w:pStyle w:val="BodyText"/>
        <w:spacing w:before="11"/>
        <w:ind w:left="0"/>
        <w:rPr>
          <w:sz w:val="21"/>
        </w:rPr>
      </w:pPr>
    </w:p>
    <w:p>
      <w:pPr>
        <w:spacing w:after="0"/>
        <w:rPr>
          <w:sz w:val="21"/>
        </w:rPr>
        <w:sectPr>
          <w:type w:val="continuous"/>
          <w:pgSz w:w="11910" w:h="16850"/>
          <w:pgMar w:top="1080" w:bottom="1020" w:left="1060" w:right="0"/>
        </w:sectPr>
      </w:pPr>
    </w:p>
    <w:p>
      <w:pPr>
        <w:pStyle w:val="BodyText"/>
        <w:ind w:left="0"/>
        <w:rPr>
          <w:sz w:val="8"/>
        </w:rPr>
      </w:pPr>
    </w:p>
    <w:p>
      <w:pPr>
        <w:spacing w:before="52"/>
        <w:ind w:left="1125" w:right="0" w:firstLine="0"/>
        <w:jc w:val="left"/>
        <w:rPr>
          <w:rFonts w:ascii="Arial"/>
          <w:b/>
          <w:sz w:val="8"/>
        </w:rPr>
      </w:pPr>
      <w:r>
        <w:rPr/>
        <w:pict>
          <v:group style="position:absolute;margin-left:74.806633pt;margin-top:12.760157pt;width:103.6pt;height:86.3pt;mso-position-horizontal-relative:page;mso-position-vertical-relative:paragraph;z-index:1336" coordorigin="1496,255" coordsize="2072,1726">
            <v:shape style="position:absolute;left:1381;top:-3162;width:15039;height:8248" coordorigin="1381,-3161" coordsize="15039,8248" path="m1521,1943l3362,1943m1521,1943l1521,1981m1786,1943l1786,1981m2047,1943l2047,1981m2312,1943l2312,1981m2574,1943l2574,1981m2836,1943l2836,1981m3100,1943l3100,1981m3362,1943l3362,1981m1521,1880l1521,320m1521,1880l1496,1880m1521,1566l1496,1566m1521,1255l1496,1255m1521,945l1496,945m1521,630l1496,630m1521,320l1496,320m1521,1943l3566,1943,3566,257,1521,257,1521,1943e" filled="false" stroked="true" strokeweight=".173324pt" strokecolor="#000000">
              <v:path arrowok="t"/>
              <v:stroke dashstyle="solid"/>
            </v:shape>
            <v:shape style="position:absolute;left:1520;top:320;width:1855;height:1259" coordorigin="1521,320" coordsize="1855,1259" path="m1521,320l1532,320,1532,324,1535,324,1537,324,1537,328,1540,328,1540,333,1546,333,1546,337,1560,337,1560,341,1565,341,1565,345,1568,345,1568,349,1573,349,1573,354,1576,354,1576,358,1579,358,1579,362,1584,362,1584,366,1587,366,1587,370,1590,370,1590,375,1593,375,1593,379,1593,383,1595,383,1595,387,1598,387,1598,395,1609,395,1609,400,1609,404,1609,408,1612,408,1612,412,1615,412,1615,416,1617,416,1617,421,1620,421,1620,425,1620,429,1623,429,1623,433,1626,433,1626,437,1626,442,1628,442,1628,446,1628,450,1631,450,1634,450,1634,454,1637,454,1637,458,1639,458,1639,463,1639,467,1642,467,1642,471,1642,475,1642,479,1648,479,1648,488,1650,488,1650,496,1653,496,1653,500,1653,505,1653,509,1656,509,1659,509,1659,513,1659,517,1662,517,1664,517,1664,521,1664,526,1664,530,1667,530,1667,534,1667,538,1670,538,1670,542,1673,542,1673,551,1675,551,1675,555,1678,555,1678,559,1678,563,1681,563,1681,572,1684,572,1689,572,1689,576,1689,580,1692,580,1692,584,1692,588,1692,593,1695,593,1700,593,1700,597,1700,601,1703,601,1703,605,1706,605,1706,609,1708,609,1708,618,1708,622,1711,622,1711,630,1714,630,1714,639,1719,639,1719,643,1719,647,1719,651,1725,651,1725,655,1725,660,1725,664,1728,664,1728,668,1730,668,1730,672,1730,677,1733,677,1733,681,1733,685,1736,685,1736,689,1739,689,1739,693,1739,697,1744,697,1744,702,1747,702,1747,706,1747,710,1747,714,1750,714,1752,714,1752,718,1752,723,1755,723,1755,727,1758,727,1761,727,1761,731,1761,735,1763,735,1763,739,1769,739,1769,744,1772,744,1772,748,1772,752,1774,752,1774,756,1777,756,1780,756,1780,760,1783,760,1783,765,1783,769,1783,773,1791,773,1794,773,1794,777,1794,781,1794,786,1797,786,1797,790,1797,794,1799,794,1799,798,1805,798,1805,802,1808,802,1808,807,1808,811,1810,811,1810,815,1813,815,1813,819,1816,819,1816,823,1819,823,1819,827,1819,832,1821,832,1821,840,1824,840,1824,844,1832,844,1832,849,1841,849,1841,853,1841,861,1843,861,1843,865,1849,865,1849,869,1849,874,1852,874,1852,878,1857,878,1857,882,1860,882,1860,886,1860,890,1863,890,1863,895,1871,895,1871,899,1874,899,1874,903,1874,907,1882,907,1882,911,1885,911,1885,916,1890,916,1890,920,1893,920,1893,928,1893,932,1896,932,1896,937,1899,937,1899,941,1901,941,1901,945,1901,949,1907,949,1910,949,1910,953,1912,953,1912,958,1912,970,1915,970,1915,974,1915,978,1915,983,1918,983,1918,987,1918,991,1921,991,1923,991,1923,995,1932,995,1932,1004,1934,1004,1934,1008,1940,1008,1940,1012,1940,1016,1943,1016,1943,1020,1951,1020,1951,1029,1956,1029,1956,1033,1959,1033,1959,1037,1962,1037,1962,1041,1965,1041,1965,1046,1967,1046,1967,1050,1970,1050,1970,1054,1973,1054,1978,1054,1978,1058,1978,1062,1981,1062,1981,1067,1989,1067,1989,1071,2000,1071,2000,1075,2003,1075,2003,1079,2006,1079,2017,1079,2017,1083,2020,1083,2020,1088,2023,1088,2023,1092,2025,1092,2025,1096,2025,1100,2031,1100,2031,1104,2039,1104,2058,1104,2058,1108,2061,1108,2061,1113,2069,1113,2069,1117,2072,1117,2072,1121,2072,1125,2075,1125,2075,1130,2086,1130,2086,1134,2089,1134,2094,1134,2094,1138,2094,1146,2097,1146,2097,1150,2102,1150,2102,1155,2105,1155,2105,1159,2108,1159,2108,1163,2111,1163,2111,1167,2113,1167,2113,1171,2119,1171,2119,1176,2122,1176,2122,1180,2125,1180,2125,1188,2125,1192,2138,1192,2141,1192,2141,1197,2147,1197,2147,1201,2149,1201,2149,1205,2155,1205,2155,1213,2174,1213,2174,1218,2174,1222,2180,1222,2180,1226,2188,1226,2188,1230,2202,1230,2202,1234,2213,1234,2213,1239,2215,1239,2215,1243,2224,1243,2224,1247,2232,1247,2232,1251,2238,1251,2238,1255,2240,1255,2249,1255,2249,1260,2257,1260,2257,1264,2271,1264,2271,1268,2271,1272,2273,1272,2273,1276,2284,1276,2284,1280,2290,1280,2290,1285,2298,1285,2298,1289,2301,1289,2301,1293,2301,1297,2306,1297,2306,1301,2351,1301,2351,1306,2356,1306,2356,1310,2362,1310,2362,1314,2370,1314,2370,1318,2370,1322,2400,1322,2400,1327,2403,1327,2403,1331,2428,1331,2428,1335,2436,1335,2436,1339,2441,1339,2441,1343,2450,1343,2450,1348,2455,1348,2455,1356,2535,1356,2535,1364,2565,1364,2565,1377,2582,1377,2582,1390,2607,1390,2607,1406,2670,1406,2670,1427,2932,1427,2932,1578,3376,1578e" filled="false" stroked="true" strokeweight=".186519pt" strokecolor="#ff0000">
              <v:path arrowok="t"/>
              <v:stroke dashstyle="solid"/>
            </v:shape>
            <v:shape style="position:absolute;left:1520;top:320;width:1968;height:1443" coordorigin="1521,320" coordsize="1968,1443" path="m1521,320l1529,320,1529,324,1532,324,1532,328,1540,328,1540,333,1551,333,1557,333,1557,337,1560,337,1560,341,1562,341,1562,345,1562,349,1565,349,1565,354,1568,354,1568,358,1568,362,1571,362,1573,362,1573,366,1573,370,1576,370,1582,370,1582,375,1584,375,1584,379,1587,379,1587,383,1587,387,1590,387,1590,391,1590,395,1595,395,1595,400,1598,400,1598,404,1598,408,1598,416,1601,416,1601,421,1604,421,1604,425,1606,425,1606,429,1606,433,1609,433,1612,433,1612,437,1617,437,1617,442,1617,446,1617,454,1620,454,1620,458,1620,463,1623,463,1623,471,1623,475,1626,475,1626,479,1626,484,1628,484,1628,488,1631,488,1631,492,1631,496,1631,500,1639,500,1639,505,1645,505,1645,509,1648,509,1648,513,1650,513,1650,521,1653,521,1653,526,1653,526,1653,530,1653,534,1656,534,1656,538,1659,538,1659,542,1662,542,1662,547,1664,547,1664,551,1664,555,1664,559,1667,559,1667,563,1670,563,1670,567,1670,572,1673,572,1673,576,1675,576,1675,580,1675,584,1678,584,1678,588,1678,593,1684,593,1684,597,1684,601,1686,601,1686,605,1689,605,1689,609,1692,609,1692,614,1695,614,1695,618,1697,618,1697,622,1697,626,1700,626,1700,630,1703,630,1703,635,1703,639,1706,639,1706,643,1706,647,1708,647,1708,651,1708,655,1711,655,1711,660,1714,660,1714,668,1714,685,1725,685,1725,689,1728,689,1728,693,1730,693,1730,697,1730,702,1733,702,1733,706,1736,706,1736,710,1736,714,1736,718,1739,718,1739,723,1744,723,1747,723,1747,727,1752,727,1752,731,1752,735,1752,744,1755,744,1755,748,1755,752,1758,752,1758,756,1758,760,1761,760,1761,765,1763,765,1769,765,1769,769,1769,773,1774,773,1774,777,1774,786,1780,786,1780,790,1783,790,1783,794,1786,794,1786,798,1788,798,1788,807,1791,807,1791,811,1791,815,1794,815,1794,819,1794,827,1797,827,1797,832,1799,832,1799,836,1802,836,1805,836,1805,840,1805,849,1808,849,1808,853,1808,857,1810,857,1810,861,1813,861,1813,865,1816,865,1816,869,1819,869,1819,874,1824,874,1824,878,1827,878,1827,882,1830,882,1830,886,1830,890,1832,890,1835,890,1835,895,1838,895,1838,899,1841,899,1841,903,1843,903,1843,907,1843,911,1846,911,1846,920,1849,920,1849,924,1852,924,1852,928,1854,928,1854,932,1854,937,1868,937,1868,941,1871,941,1871,945,1871,949,1874,949,1874,953,1876,953,1876,958,1879,958,1879,966,1879,970,1885,970,1885,974,1885,983,1887,983,1887,987,1887,991,1890,991,1890,995,1899,995,1899,999,1899,1004,1904,1004,1904,1008,1907,1008,1907,1012,1910,1012,1910,1016,1910,1020,1912,1020,1912,1025,1912,1029,1923,1029,1923,1033,1923,1037,1926,1037,1926,1046,1926,1050,1932,1050,1932,1054,1937,1054,1937,1058,1937,1062,1937,1067,1940,1067,1940,1071,1943,1071,1943,1075,1951,1075,1951,1079,1954,1079,1954,1083,1956,1083,1956,1088,1959,1088,1962,1088,1962,1092,1962,1096,1967,1096,1967,1100,1967,1104,1970,1104,1970,1108,1976,1108,1976,1117,1976,1121,1987,1121,1987,1125,1989,1125,1989,1130,1992,1130,1992,1134,1995,1134,1995,1142,1998,1142,1998,1146,2003,1146,2003,1155,2006,1155,2006,1159,2009,1159,2009,1163,2012,1163,2012,1167,2014,1167,2014,1171,2017,1171,2017,1176,2020,1176,2020,1184,2023,1184,2023,1188,2031,1188,2031,1192,2036,1192,2036,1197,2045,1197,2045,1201,2045,1205,2047,1205,2047,1209,2050,1209,2050,1213,2050,1218,2056,1218,2056,1222,2064,1222,2064,1226,2067,1226,2067,1230,2067,1234,2069,1234,2069,1239,2083,1239,2083,1243,2086,1243,2086,1247,2094,1247,2094,1251,2097,1251,2097,1255,2105,1255,2105,1260,2105,1264,2113,1264,2113,1268,2130,1268,2130,1272,2130,1276,2138,1276,2138,1280,2138,1285,2149,1285,2149,1289,2149,1293,2152,1293,2152,1297,2155,1297,2158,1297,2158,1301,2163,1301,2163,1306,2166,1306,2166,1310,2188,1310,2188,1314,2196,1314,2196,1318,2199,1318,2199,1327,2199,1331,2207,1331,2207,1335,2215,1335,2215,1339,2226,1339,2226,1343,2229,1343,2229,1348,2238,1348,2238,1352,2240,1352,2240,1356,2249,1356,2249,1360,2257,1360,2257,1364,2265,1364,2265,1369,2268,1369,2268,1373,2276,1373,2276,1377,2279,1377,2279,1381,2290,1381,2290,1385,2293,1385,2293,1390,2328,1390,2328,1394,2331,1394,2331,1398,2353,1398,2353,1402,2362,1402,2362,1406,2370,1406,2370,1410,2378,1410,2378,1415,2384,1415,2414,1415,2414,1419,2441,1419,2441,1423,2461,1423,2461,1427,2588,1427,2588,1448,2794,1448,2794,1503,2968,1503,2968,1566,3026,1566,3026,1641,3221,1641,3221,1763,3489,1763e" filled="false" stroked="true" strokeweight=".184059pt" strokecolor="#0000ff">
              <v:path arrowok="t"/>
              <v:stroke dashstyle="solid"/>
            </v:shape>
            <v:line style="position:absolute" from="3034,400" to="3114,400" stroked="true" strokeweight=".209016pt" strokecolor="#ff0000">
              <v:stroke dashstyle="solid"/>
            </v:line>
            <v:line style="position:absolute" from="3034,484" to="3114,484" stroked="true" strokeweight=".209016pt" strokecolor="#0000ff">
              <v:stroke dashstyle="solid"/>
            </v:line>
            <v:shape style="position:absolute;left:2995;top:320;width:428;height:244" type="#_x0000_t202" filled="false" stroked="true" strokeweight=".200218pt" strokecolor="#000000">
              <v:textbox inset="0,0,0,0">
                <w:txbxContent>
                  <w:p>
                    <w:pPr>
                      <w:spacing w:line="240" w:lineRule="auto" w:before="3"/>
                      <w:rPr>
                        <w:sz w:val="4"/>
                      </w:rPr>
                    </w:pPr>
                  </w:p>
                  <w:p>
                    <w:pPr>
                      <w:spacing w:line="276" w:lineRule="auto" w:before="0"/>
                      <w:ind w:left="155" w:right="-12" w:firstLine="0"/>
                      <w:jc w:val="left"/>
                      <w:rPr>
                        <w:rFonts w:ascii="Arial"/>
                        <w:sz w:val="6"/>
                      </w:rPr>
                    </w:pPr>
                    <w:r>
                      <w:rPr>
                        <w:rFonts w:ascii="Arial"/>
                        <w:w w:val="75"/>
                        <w:sz w:val="6"/>
                      </w:rPr>
                      <w:t>non-smokers</w:t>
                    </w:r>
                    <w:r>
                      <w:rPr>
                        <w:rFonts w:ascii="Arial"/>
                        <w:w w:val="73"/>
                        <w:sz w:val="6"/>
                      </w:rPr>
                      <w:t> </w:t>
                    </w:r>
                    <w:r>
                      <w:rPr>
                        <w:rFonts w:ascii="Arial"/>
                        <w:w w:val="85"/>
                        <w:sz w:val="6"/>
                      </w:rPr>
                      <w:t>smokers</w:t>
                    </w:r>
                  </w:p>
                </w:txbxContent>
              </v:textbox>
              <v:stroke dashstyle="solid"/>
              <w10:wrap type="none"/>
            </v:shape>
            <w10:wrap type="none"/>
          </v:group>
        </w:pict>
      </w:r>
      <w:r>
        <w:rPr/>
        <w:pict>
          <v:shape style="position:absolute;margin-left:70.02092pt;margin-top:12.725039pt;width:4.5pt;height:6.6pt;mso-position-horizontal-relative:page;mso-position-vertical-relative:paragraph;z-index:1864" type="#_x0000_t202" filled="false" stroked="false">
            <v:textbox inset="0,0,0,0" style="layout-flow:vertical;mso-layout-flow-alt:bottom-to-top">
              <w:txbxContent>
                <w:p>
                  <w:pPr>
                    <w:spacing w:before="22"/>
                    <w:ind w:left="20" w:right="0" w:firstLine="0"/>
                    <w:jc w:val="left"/>
                    <w:rPr>
                      <w:rFonts w:ascii="Arial"/>
                      <w:sz w:val="4"/>
                    </w:rPr>
                  </w:pPr>
                  <w:r>
                    <w:rPr>
                      <w:rFonts w:ascii="Arial"/>
                      <w:w w:val="165"/>
                      <w:sz w:val="4"/>
                    </w:rPr>
                    <w:t>1.0</w:t>
                  </w:r>
                </w:p>
              </w:txbxContent>
            </v:textbox>
            <w10:wrap type="none"/>
          </v:shape>
        </w:pict>
      </w:r>
      <w:r>
        <w:rPr>
          <w:rFonts w:ascii="Arial"/>
          <w:b/>
          <w:w w:val="70"/>
          <w:sz w:val="8"/>
        </w:rPr>
        <w:t>Survival functions(smoking)</w:t>
      </w:r>
    </w:p>
    <w:p>
      <w:pPr>
        <w:pStyle w:val="BodyText"/>
        <w:spacing w:before="7"/>
        <w:ind w:left="0"/>
        <w:rPr>
          <w:rFonts w:ascii="Arial"/>
          <w:b/>
          <w:sz w:val="8"/>
        </w:rPr>
      </w:pPr>
      <w:r>
        <w:rPr/>
        <w:br w:type="column"/>
      </w:r>
      <w:r>
        <w:rPr>
          <w:rFonts w:ascii="Arial"/>
          <w:b/>
          <w:sz w:val="8"/>
        </w:rPr>
      </w:r>
    </w:p>
    <w:p>
      <w:pPr>
        <w:spacing w:before="0"/>
        <w:ind w:left="1125" w:right="0" w:firstLine="0"/>
        <w:jc w:val="left"/>
        <w:rPr>
          <w:rFonts w:ascii="Arial"/>
          <w:b/>
          <w:sz w:val="8"/>
        </w:rPr>
      </w:pPr>
      <w:r>
        <w:rPr/>
        <w:pict>
          <v:shape style="position:absolute;margin-left:190.455429pt;margin-top:10.307542pt;width:4.7pt;height:6.7pt;mso-position-horizontal-relative:page;mso-position-vertical-relative:paragraph;z-index:2440" type="#_x0000_t202" filled="false" stroked="false">
            <v:textbox inset="0,0,0,0" style="layout-flow:vertical;mso-layout-flow-alt:bottom-to-top">
              <w:txbxContent>
                <w:p>
                  <w:pPr>
                    <w:spacing w:before="25"/>
                    <w:ind w:left="20" w:right="0" w:firstLine="0"/>
                    <w:jc w:val="left"/>
                    <w:rPr>
                      <w:rFonts w:ascii="Arial"/>
                      <w:sz w:val="4"/>
                    </w:rPr>
                  </w:pPr>
                  <w:r>
                    <w:rPr>
                      <w:rFonts w:ascii="Arial"/>
                      <w:w w:val="170"/>
                      <w:sz w:val="4"/>
                    </w:rPr>
                    <w:t>1.0</w:t>
                  </w:r>
                </w:p>
              </w:txbxContent>
            </v:textbox>
            <w10:wrap type="none"/>
          </v:shape>
        </w:pict>
      </w:r>
      <w:r>
        <w:rPr>
          <w:rFonts w:ascii="Arial"/>
          <w:b/>
          <w:w w:val="75"/>
          <w:sz w:val="8"/>
        </w:rPr>
        <w:t>Survival functions(drinking)</w:t>
      </w:r>
    </w:p>
    <w:p>
      <w:pPr>
        <w:pStyle w:val="BodyText"/>
        <w:ind w:left="0"/>
        <w:rPr>
          <w:rFonts w:ascii="Arial"/>
          <w:b/>
          <w:sz w:val="6"/>
        </w:rPr>
      </w:pPr>
      <w:r>
        <w:rPr/>
        <w:br w:type="column"/>
      </w:r>
      <w:r>
        <w:rPr>
          <w:rFonts w:ascii="Arial"/>
          <w:b/>
          <w:sz w:val="6"/>
        </w:rPr>
      </w:r>
    </w:p>
    <w:p>
      <w:pPr>
        <w:pStyle w:val="BodyText"/>
        <w:ind w:left="0"/>
        <w:rPr>
          <w:rFonts w:ascii="Arial"/>
          <w:b/>
          <w:sz w:val="6"/>
        </w:rPr>
      </w:pPr>
    </w:p>
    <w:p>
      <w:pPr>
        <w:pStyle w:val="BodyText"/>
        <w:spacing w:before="2"/>
        <w:ind w:left="0"/>
        <w:rPr>
          <w:rFonts w:ascii="Arial"/>
          <w:b/>
          <w:sz w:val="7"/>
        </w:rPr>
      </w:pPr>
    </w:p>
    <w:p>
      <w:pPr>
        <w:spacing w:before="1"/>
        <w:ind w:left="1125" w:right="0" w:firstLine="0"/>
        <w:jc w:val="left"/>
        <w:rPr>
          <w:rFonts w:ascii="Arial"/>
          <w:b/>
          <w:sz w:val="6"/>
        </w:rPr>
      </w:pPr>
      <w:r>
        <w:rPr/>
        <w:pict>
          <v:group style="position:absolute;margin-left:195.528671pt;margin-top:4.262957pt;width:111.45pt;height:88.45pt;mso-position-horizontal-relative:page;mso-position-vertical-relative:paragraph;z-index:1408" coordorigin="3911,85" coordsize="2229,1769">
            <v:shape style="position:absolute;left:1381;top:-3280;width:15039;height:8248" coordorigin="1381,-3280" coordsize="15039,8248" path="m3937,1815l5918,1815m3937,1815l3937,1854m4222,1815l4222,1854m4504,1815l4504,1854m4788,1815l4788,1854m5070,1815l5070,1854m5352,1815l5352,1854m5636,1815l5636,1854m5918,1815l5918,1854m3937,1751l3937,152m3937,1751l3911,1751m3937,1428l3911,1428m3937,1110l3911,1110m3937,792l3911,792m3937,470l3911,470m3937,152l3911,152m3937,1815l6137,1815,6137,87,3937,87,3937,1815e" filled="false" stroked="true" strokeweight=".181137pt" strokecolor="#000000">
              <v:path arrowok="t"/>
              <v:stroke dashstyle="solid"/>
            </v:shape>
            <v:shape style="position:absolute;left:3937;top:151;width:2118;height:1380" coordorigin="3937,152" coordsize="2118,1380" path="m3937,152l3946,152,3946,156,3949,156,3949,160,3952,160,3955,160,3955,165,3958,165,3964,165,3964,169,3979,169,3979,173,3982,173,3982,177,3988,177,3988,182,3991,182,3994,182,3994,186,3997,186,3997,190,4000,190,4000,195,4003,195,4005,195,4005,199,4008,199,4008,203,4011,203,4011,208,4011,212,4014,212,4014,216,4017,216,4017,220,4017,225,4020,225,4020,229,4020,233,4032,233,4032,238,4032,242,4035,242,4035,246,4035,251,4038,251,4041,251,4041,255,4041,259,4044,259,4044,259,4044,263,4044,268,4044,272,4047,272,4047,276,4047,281,4050,281,4050,285,4053,285,4053,289,4056,289,4056,294,4059,294,4059,298,4062,298,4065,298,4065,302,4065,306,4068,306,4068,311,4071,311,4071,315,4074,315,4074,319,4077,319,4077,324,4077,328,4077,332,4080,332,4080,337,4080,341,4080,345,4083,345,4083,349,4086,349,4086,354,4089,354,4089,358,4091,358,4091,362,4091,367,4094,367,4094,371,4097,371,4097,375,4100,375,4100,379,4103,379,4103,384,4106,384,4106,388,4106,392,4106,397,4109,397,4109,401,4112,401,4112,405,4118,405,4118,410,4118,414,4121,414,4121,414,4121,418,4121,422,4124,422,4124,427,4130,427,4130,431,4133,431,4133,435,4136,435,4136,440,4139,440,4139,448,4139,453,4142,453,4142,457,4145,457,4145,465,4145,470,4145,474,4151,474,4151,478,4157,478,4157,483,4157,487,4157,491,4160,491,4160,495,4163,495,4163,500,4166,500,4166,504,4166,508,4169,508,4169,513,4169,517,4172,517,4172,521,4178,521,4178,526,4180,526,4180,530,4180,534,4183,534,4183,539,4186,539,4186,543,4186,547,4189,547,4189,547,4189,551,4189,556,4192,556,4192,560,4195,560,4195,564,4198,564,4198,569,4204,569,4207,569,4207,573,4210,573,4210,577,4213,577,4213,582,4216,582,4216,586,4219,586,4219,590,4225,590,4225,594,4228,594,4228,599,4231,599,4231,603,4231,607,4231,612,4234,612,4234,616,4234,620,4237,620,4237,625,4243,625,4243,629,4246,629,4246,633,4246,637,4249,637,4249,642,4252,642,4252,646,4255,646,4255,650,4255,655,4258,655,4258,659,4260,659,4260,663,4263,663,4263,667,4272,667,4272,672,4272,676,4281,676,4281,680,4281,685,4281,689,4284,689,4284,693,4287,693,4290,693,4290,698,4290,702,4293,702,4293,706,4299,706,4302,706,4302,710,4302,715,4305,715,4311,715,4311,719,4314,719,4314,723,4314,728,4317,728,4317,732,4317,736,4323,736,4323,740,4326,740,4329,740,4329,745,4332,745,4332,749,4335,749,4335,753,4338,753,4338,758,4341,758,4341,762,4344,762,4344,766,4347,766,4347,771,4349,771,4349,775,4352,775,4355,775,4355,779,4358,779,4358,783,4358,792,4358,796,4361,796,4361,801,4361,805,4364,805,4364,809,4367,809,4370,809,4370,814,4370,818,4373,818,4373,822,4379,822,4379,826,4382,826,4382,831,4385,831,4385,835,4388,835,4388,839,4391,839,4391,844,4400,844,4400,852,4403,852,4403,856,4406,856,4406,861,4406,865,4409,865,4412,865,4412,869,4415,869,4415,874,4418,874,4418,878,4418,882,4424,882,4427,882,4427,887,4430,887,4430,891,4430,895,4432,895,4441,895,4441,900,4444,900,4453,900,4453,904,4456,904,4456,908,4459,908,4459,912,4462,912,4471,912,4471,917,4474,917,4474,921,4474,925,4477,925,4477,930,4480,930,4480,934,4486,934,4486,938,4495,938,4501,938,4501,943,4504,943,4507,943,4507,947,4513,947,4513,951,4515,951,4521,951,4521,955,4524,955,4527,955,4527,960,4527,964,4530,964,4530,968,4533,968,4542,968,4542,973,4545,973,4545,977,4548,977,4548,981,4554,981,4554,990,4557,990,4557,994,4563,994,4566,994,4566,998,4569,998,4569,1003,4572,1003,4575,1003,4575,1007,4581,1007,4581,1011,4584,1011,4584,1016,4587,1016,4587,1020,4593,1020,4593,1024,4593,1028,4602,1028,4602,1033,4604,1033,4604,1037,4610,1037,4610,1041,4613,1041,4613,1046,4613,1050,4619,1050,4619,1054,4631,1054,4631,1059,4640,1059,4640,1063,4646,1063,4646,1067,4655,1067,4655,1071,4655,1076,4664,1076,4667,1076,4667,1080,4670,1080,4670,1084,4682,1084,4682,1089,4685,1089,4685,1093,4693,1093,4693,1097,4702,1097,4708,1097,4708,1102,4711,1102,4711,1106,4720,1106,4720,1110,4729,1110,4729,1114,4738,1114,4738,1119,4741,1119,4741,1123,4744,1123,4744,1127,4747,1127,4747,1132,4753,1132,4759,1132,4759,1136,4765,1136,4765,1140,4768,1140,4768,1144,4774,1144,4776,1144,4776,1149,4776,1153,4782,1153,4782,1157,4809,1157,4830,1157,4830,1162,4836,1162,4836,1166,4842,1166,4842,1170,4851,1170,4851,1175,4859,1175,4859,1179,4883,1179,4886,1179,4886,1183,4913,1183,4913,1188,4922,1188,4922,1192,4928,1192,4937,1192,4937,1196,4942,1196,4942,1200,5029,1200,5029,1209,5061,1209,5061,1218,5079,1218,5079,1226,5106,1226,5106,1239,5174,1239,5174,1252,5307,1252,5307,1299,5456,1299,5456,1355,5556,1355,5556,1424,5767,1424,5767,1531,6054,1531e" filled="false" stroked="true" strokeweight=".194486pt" strokecolor="#ff0000">
              <v:path arrowok="t"/>
              <v:stroke dashstyle="solid"/>
            </v:shape>
            <v:shape style="position:absolute;left:3937;top:151;width:1557;height:1599" coordorigin="3937,152" coordsize="1557,1599" path="m3937,152l3958,152,3958,156,3970,156,3970,160,3976,160,3976,169,3979,169,3979,173,3982,173,3982,177,3985,177,3985,182,3985,186,3985,195,3988,195,3988,199,3988,203,3994,203,3994,208,3994,216,4005,216,4005,220,4008,220,4008,225,4011,225,4011,229,4014,229,4014,238,4020,238,4020,242,4020,246,4020,259,4023,259,4023,263,4023,272,4026,272,4026,276,4029,276,4029,281,4029,285,4041,285,4041,294,4041,298,4041,302,4044,302,4044,311,4047,311,4047,315,4050,315,4050,319,4050,332,4050,337,4053,337,4053,345,4056,345,4056,349,4056,358,4062,358,4062,362,4065,362,4065,367,4074,367,4074,375,4077,375,4077,379,4080,379,4080,384,4083,384,4083,392,4086,392,4086,397,4089,397,4089,405,4091,405,4091,410,4091,418,4094,418,4094,422,4094,427,4094,435,4097,435,4097,440,4100,440,4100,448,4100,453,4103,453,4103,457,4103,465,4106,465,4106,470,4112,470,4112,478,4115,478,4115,483,4121,483,4121,491,4121,495,4127,495,4127,504,4127,508,4130,508,4130,513,4130,521,4133,521,4133,526,4133,534,4136,534,4136,539,4139,539,4139,547,4139,551,4145,551,4145,560,4145,577,4157,577,4157,582,4157,590,4160,590,4160,594,4163,594,4163,603,4166,603,4166,607,4169,607,4169,616,4172,616,4172,620,4172,629,4178,629,4178,633,4186,633,4186,642,4186,646,4192,646,4192,655,4192,659,4198,659,4198,667,4204,667,4204,672,4204,680,4207,680,4207,689,4210,689,4210,693,4210,702,4216,702,4216,706,4219,706,4219,715,4219,719,4222,719,4222,728,4225,728,4225,732,4228,732,4228,740,4231,740,4231,749,4234,749,4234,753,4240,753,4240,762,4243,762,4243,766,4243,779,4246,779,4246,788,4249,788,4249,796,4258,796,4258,801,4266,801,4266,809,4269,809,4269,814,4269,822,4275,822,4275,831,4278,831,4278,835,4284,835,4284,844,4284,852,4287,852,4287,856,4290,856,4290,865,4293,865,4293,874,4296,874,4296,878,4296,887,4317,887,4317,895,4320,895,4320,900,4323,900,4323,908,4329,908,4329,917,4329,930,4329,934,4335,934,4335,943,4335,951,4344,951,4344,955,4344,964,4352,964,4352,973,4352,981,4355,981,4355,986,4361,986,4361,994,4373,994,4373,1003,4373,1007,4379,1007,4379,1016,4385,1016,4385,1024,4385,1028,4388,1028,4388,1037,4409,1037,4409,1046,4412,1046,4412,1054,4421,1054,4421,1059,4421,1067,4427,1067,4427,1076,4438,1076,4438,1084,4441,1084,4441,1089,4444,1089,4444,1097,4447,1097,4447,1114,4450,1114,4450,1119,4456,1119,4456,1136,4465,1136,4465,1144,4468,1144,4468,1153,4471,1153,4471,1157,4474,1157,4474,1166,4486,1166,4486,1175,4492,1175,4492,1183,4501,1183,4501,1192,4507,1192,4507,1200,4518,1200,4518,1205,4521,1205,4521,1213,4524,1213,4524,1222,4554,1222,4554,1231,4566,1231,4566,1239,4566,1248,4569,1248,4569,1256,4616,1256,4616,1261,4622,1261,4622,1269,4628,1269,4628,1278,4667,1278,4667,1286,4676,1286,4676,1295,4696,1295,4696,1304,4699,1304,4699,1312,4711,1312,4711,1321,4750,1321,4750,1329,4806,1329,4806,1338,4833,1338,4833,1347,4851,1347,4851,1355,4865,1355,4865,1364,4898,1364,4898,1372,4928,1372,4928,1381,4948,1381,4948,1389,5085,1389,5085,1432,5494,1432,5494,1751e" filled="false" stroked="true" strokeweight=".180256pt" strokecolor="#0000ff">
              <v:path arrowok="t"/>
              <v:stroke dashstyle="solid"/>
            </v:shape>
            <v:rect style="position:absolute;left:5523;top:151;width:448;height:250" filled="false" stroked="true" strokeweight=".198547pt" strokecolor="#000000">
              <v:stroke dashstyle="solid"/>
            </v:rect>
            <v:line style="position:absolute" from="5565,233" to="5651,233" stroked="true" strokeweight=".21419pt" strokecolor="#ff0000">
              <v:stroke dashstyle="solid"/>
            </v:line>
            <v:shape style="position:absolute;left:5692;top:287;width:186;height:77" type="#_x0000_t202" filled="false" stroked="false">
              <v:textbox inset="0,0,0,0">
                <w:txbxContent>
                  <w:p>
                    <w:pPr>
                      <w:spacing w:line="77" w:lineRule="exact" w:before="0"/>
                      <w:ind w:left="0" w:right="0" w:firstLine="0"/>
                      <w:jc w:val="left"/>
                      <w:rPr>
                        <w:rFonts w:ascii="Arial"/>
                        <w:sz w:val="7"/>
                      </w:rPr>
                    </w:pPr>
                    <w:r>
                      <w:rPr>
                        <w:rFonts w:ascii="Arial"/>
                        <w:w w:val="70"/>
                        <w:sz w:val="7"/>
                      </w:rPr>
                      <w:t>drinkers</w:t>
                    </w:r>
                  </w:p>
                </w:txbxContent>
              </v:textbox>
              <w10:wrap type="none"/>
            </v:shape>
            <v:shape style="position:absolute;left:5565;top:205;width:403;height:124" type="#_x0000_t202" filled="false" stroked="false">
              <v:textbox inset="0,0,0,0">
                <w:txbxContent>
                  <w:p>
                    <w:pPr>
                      <w:spacing w:line="77" w:lineRule="exact" w:before="0"/>
                      <w:ind w:left="0" w:right="0" w:firstLine="0"/>
                      <w:jc w:val="left"/>
                      <w:rPr>
                        <w:rFonts w:ascii="Arial"/>
                        <w:sz w:val="7"/>
                      </w:rPr>
                    </w:pPr>
                    <w:r>
                      <w:rPr>
                        <w:rFonts w:ascii="Arial"/>
                        <w:w w:val="73"/>
                        <w:position w:val="-4"/>
                        <w:sz w:val="6"/>
                        <w:u w:val="single" w:color="0000FF"/>
                      </w:rPr>
                      <w:t> </w:t>
                    </w:r>
                    <w:r>
                      <w:rPr>
                        <w:rFonts w:ascii="Arial"/>
                        <w:position w:val="-4"/>
                        <w:sz w:val="6"/>
                        <w:u w:val="single" w:color="0000FF"/>
                      </w:rPr>
                      <w:t>     </w:t>
                    </w:r>
                    <w:r>
                      <w:rPr>
                        <w:rFonts w:ascii="Arial"/>
                        <w:position w:val="-4"/>
                        <w:sz w:val="6"/>
                      </w:rPr>
                      <w:t>  </w:t>
                    </w:r>
                    <w:r>
                      <w:rPr>
                        <w:rFonts w:ascii="Arial"/>
                        <w:w w:val="65"/>
                        <w:sz w:val="7"/>
                      </w:rPr>
                      <w:t>non-drinkers</w:t>
                    </w:r>
                  </w:p>
                </w:txbxContent>
              </v:textbox>
              <w10:wrap type="none"/>
            </v:shape>
            <w10:wrap type="none"/>
          </v:group>
        </w:pict>
      </w:r>
      <w:r>
        <w:rPr/>
        <w:pict>
          <v:group style="position:absolute;margin-left:327.819672pt;margin-top:8.22677pt;width:109.25pt;height:88.1pt;mso-position-horizontal-relative:page;mso-position-vertical-relative:paragraph;z-index:1456" coordorigin="6556,165" coordsize="2185,1762">
            <v:shape style="position:absolute;left:1381;top:-5043;width:11158;height:10031" coordorigin="1382,-5043" coordsize="11158,10031" path="m6592,1894l8528,1894m6592,1894l6592,1926m6870,1894l6870,1926m7144,1894l7144,1926m7423,1894l7423,1926m7697,1894l7697,1926m7975,1894l7975,1926m8250,1894l8250,1926m8528,1894l8528,1926m6592,1827l6592,230m6592,1827l6556,1827m6592,1511l6556,1511m6592,1190l6556,1190m6592,870l6556,870m6592,550l6556,550m6592,230l6556,230m6592,1894l8739,1894,8739,166,6592,166,6592,1894e" filled="false" stroked="true" strokeweight=".185531pt" strokecolor="#000000">
              <v:path arrowok="t"/>
              <v:stroke dashstyle="solid"/>
            </v:shape>
            <v:shape style="position:absolute;left:6591;top:229;width:2066;height:1348" coordorigin="6592,230" coordsize="2066,1348" path="m6592,230l6600,230,6600,233,6603,233,6603,237,6607,237,6607,240,6611,240,6615,240,6615,244,6619,244,6619,247,6623,247,6631,247,6631,251,6635,251,6635,254,6635,258,6639,258,6639,261,6639,265,6643,265,6643,272,6647,272,6647,275,6647,279,6650,279,6654,279,6654,282,6658,282,6658,286,6658,290,6662,290,6662,293,6662,297,6666,297,6666,300,6670,300,6670,304,6670,307,6674,307,6674,311,6674,314,6674,318,6678,318,6678,321,6682,321,6682,325,6682,328,6686,328,6686,332,6686,335,6690,335,6694,335,6694,339,6694,342,6694,346,6698,346,6698,349,6698,353,6698,356,6698,360,6701,360,6701,363,6701,367,6705,367,6705,370,6709,370,6709,374,6709,378,6713,378,6713,381,6717,381,6717,385,6717,388,6717,392,6721,392,6721,395,6725,395,6725,402,6729,402,6729,406,6729,413,6729,416,6729,420,6729,423,6733,423,6733,427,6737,427,6737,430,6737,434,6741,434,6741,437,6741,441,6741,444,6745,444,6745,448,6745,451,6745,455,6745,458,6748,458,6752,458,6752,465,6752,472,6756,472,6756,472,6756,476,6756,480,6756,483,6760,483,6760,487,6764,487,6764,490,6768,490,6768,494,6768,497,6768,501,6772,501,6772,504,6772,508,6776,508,6776,511,6776,515,6780,515,6780,518,6780,522,6784,522,6784,529,6784,532,6784,536,6788,536,6788,543,6788,546,6792,546,6792,550,6795,550,6795,557,6795,560,6795,568,6795,571,6799,571,6803,571,6803,575,6807,575,6807,578,6807,582,6811,582,6811,585,6811,589,6815,589,6815,592,6815,596,6819,596,6819,599,6819,603,6819,606,6823,606,6823,610,6827,610,6827,613,6831,613,6831,617,6831,620,6835,620,6835,624,6835,627,6835,631,6835,634,6839,634,6839,634,6839,638,6839,641,6843,641,6843,645,6843,648,6846,648,6846,652,6846,656,6850,656,6854,656,6854,659,6858,659,6858,663,6858,666,6862,666,6862,670,6866,670,6866,673,6866,677,6870,677,6870,680,6870,684,6874,684,6874,687,6878,687,6878,691,6878,694,6882,694,6882,698,6882,701,6882,705,6886,705,6886,708,6890,708,6890,712,6890,715,6890,719,6893,719,6893,722,6897,722,6897,726,6897,729,6901,729,6901,733,6901,736,6905,736,6905,740,6909,740,6909,743,6909,747,6913,747,6913,750,6917,750,6917,754,6917,757,6921,757,6921,761,6925,761,6925,765,6929,765,6929,768,6929,772,6929,775,6933,775,6933,779,6937,779,6937,782,6937,786,6937,789,6941,789,6941,793,6941,796,6944,796,6944,800,6948,800,6952,800,6952,803,6956,803,6956,807,6960,807,6960,807,6960,814,6960,817,6964,817,6964,821,6968,821,6968,824,6968,828,6972,828,6972,831,6976,831,6976,838,6976,842,6980,842,6980,846,6980,849,6984,849,6984,853,6984,856,6988,856,6988,856,6988,860,6988,863,6991,863,6991,867,6995,867,6995,870,6995,874,6999,874,6999,874,6999,877,6999,881,6999,884,7003,884,7003,888,7003,891,7003,895,7007,895,7007,898,7007,902,7007,905,7011,905,7011,909,7015,909,7015,912,7019,912,7019,916,7019,919,7023,919,7023,923,7027,923,7027,926,7027,930,7031,930,7031,930,7031,934,7031,937,7031,941,7031,944,7035,944,7035,948,7046,948,7046,951,7050,951,7050,955,7050,958,7050,962,7054,962,7054,965,7054,969,7058,969,7058,976,7062,976,7062,979,7066,979,7066,983,7070,983,7070,986,7070,990,7074,990,7074,993,7078,993,7078,997,7082,997,7082,1000,7086,1000,7086,1004,7089,1004,7089,1011,7093,1011,7097,1011,7097,1014,7097,1018,7101,1018,7101,1021,7105,1021,7105,1025,7109,1025,7109,1028,7113,1028,7113,1032,7113,1035,7113,1039,7117,1039,7117,1043,7121,1043,7121,1046,7125,1046,7129,1046,7129,1050,7133,1050,7133,1053,7140,1053,7144,1053,7144,1057,7148,1057,7148,1060,7152,1060,7152,1064,7160,1064,7160,1067,7164,1067,7164,1071,7168,1071,7168,1074,7172,1074,7172,1078,7172,1081,7183,1081,7191,1081,7191,1085,7195,1085,7195,1088,7195,1092,7199,1092,7199,1095,7203,1095,7203,1099,7207,1099,7207,1102,7207,1106,7211,1106,7211,1109,7215,1109,7219,1109,7219,1113,7227,1113,7227,1120,7231,1120,7231,1124,7238,1124,7238,1127,7254,1127,7254,1131,7254,1134,7258,1134,7258,1141,7258,1145,7266,1145,7266,1148,7270,1148,7278,1148,7278,1152,7278,1155,7285,1155,7293,1155,7293,1159,7293,1162,7301,1162,7301,1166,7305,1166,7305,1169,7309,1169,7309,1173,7313,1173,7321,1173,7321,1176,7329,1176,7329,1180,7332,1180,7336,1180,7336,1183,7344,1183,7344,1187,7348,1187,7348,1190,7356,1190,7356,1194,7364,1194,7368,1194,7368,1197,7376,1197,7376,1201,7380,1201,7380,1204,7387,1204,7391,1204,7391,1208,7399,1208,7399,1212,7403,1212,7407,1212,7407,1215,7411,1215,7411,1219,7419,1219,7419,1222,7438,1222,7438,1226,7442,1226,7462,1226,7462,1229,7466,1229,7466,1233,7470,1233,7470,1236,7473,1236,7481,1236,7481,1240,7485,1240,7485,1243,7489,1243,7489,1247,7497,1247,7497,1250,7517,1250,7517,1254,7532,1254,7532,1257,7544,1257,7544,1261,7552,1261,7552,1264,7556,1264,7556,1268,7568,1268,7572,1268,7572,1271,7579,1271,7579,1275,7689,1275,7689,1282,7709,1282,7709,1292,7713,1292,7713,1303,7732,1303,7732,1314,7799,1314,7799,1324,8073,1324,8073,1387,8112,1387,8112,1451,8379,1451,8379,1577,8657,1577e" filled="false" stroked="true" strokeweight=".181452pt" strokecolor="#ff0000">
              <v:path arrowok="t"/>
              <v:stroke dashstyle="solid"/>
            </v:shape>
            <v:shape style="position:absolute;left:6591;top:229;width:1580;height:1598" coordorigin="6592,230" coordsize="1580,1598" path="m6592,230l6603,230,6603,237,6611,237,6611,244,6647,244,6647,254,6650,254,6650,261,6662,261,6662,268,6662,275,6662,282,6662,293,6666,293,6666,300,6674,300,6674,314,6674,325,6678,325,6678,332,6686,332,6686,339,6686,346,6690,346,6690,356,6694,356,6694,363,6694,370,6698,370,6698,381,6698,388,6698,395,6701,395,6701,406,6701,413,6701,423,6705,423,6705,430,6709,430,6709,437,6709,448,6709,455,6717,455,6717,462,6725,462,6725,472,6733,472,6733,480,6733,490,6737,490,6737,497,6741,497,6741,508,6748,508,6748,515,6748,532,6752,532,6752,543,6760,543,6760,550,6760,560,6772,560,6772,571,6776,571,6776,578,6784,578,6784,589,6788,589,6788,596,6792,596,6792,606,6795,606,6795,617,6795,624,6799,624,6799,634,6803,634,6803,652,6807,652,6807,673,6811,673,6811,680,6815,680,6815,691,6815,701,6815,708,6819,708,6819,719,6827,719,6827,729,6835,729,6835,740,6839,740,6839,747,6843,747,6843,757,6850,757,6850,768,6854,768,6854,779,6858,779,6858,786,6858,796,6862,796,6862,807,6866,807,6866,817,6874,817,6874,824,6874,835,6878,835,6878,846,6878,856,6878,867,6878,874,6890,874,6890,884,6893,884,6893,895,6893,905,6897,905,6897,912,6905,912,6905,923,6905,934,6909,934,6909,944,6925,944,6925,951,6929,951,6929,962,6929,972,6929,983,6937,983,6937,993,6948,993,6948,1000,6964,1000,6964,1011,6964,1021,6976,1021,6976,1032,6984,1032,6984,1039,6984,1050,7003,1050,7003,1060,7003,1071,7015,1071,7015,1081,7019,1081,7019,1088,7023,1088,7023,1099,7042,1099,7042,1120,7050,1120,7050,1131,7066,1131,7066,1141,7082,1141,7082,1152,7097,1152,7097,1162,7097,1169,7117,1169,7117,1180,7117,1190,7129,1190,7129,1201,7136,1201,7136,1212,7140,1212,7140,1222,7156,1222,7156,1233,7160,1233,7160,1243,7168,1243,7168,1254,7168,1264,7183,1264,7183,1275,7183,1285,7187,1285,7187,1296,7195,1296,7195,1306,7211,1306,7211,1321,7215,1321,7215,1331,7223,1331,7223,1342,7231,1342,7231,1352,7242,1352,7242,1363,7242,1373,7246,1373,7246,1384,7250,1384,7250,1394,7281,1394,7281,1405,7301,1405,7301,1416,7321,1416,7321,1430,7321,1440,7340,1440,7340,1451,7348,1451,7348,1461,7356,1461,7356,1472,7376,1472,7376,1482,7380,1482,7380,1493,7383,1493,7383,1507,7383,1518,7399,1518,7399,1528,7411,1528,7411,1539,7473,1539,7473,1549,7556,1549,7556,1560,7572,1560,7572,1574,7658,1574,7658,1599,7928,1599,7928,1715,8171,1715,8171,1827e" filled="false" stroked="true" strokeweight=".185647pt" strokecolor="#0000ff">
              <v:path arrowok="t"/>
              <v:stroke dashstyle="solid"/>
            </v:shape>
            <v:line style="position:absolute" from="8195,300" to="8308,300" stroked="true" strokeweight=".175403pt" strokecolor="#ff0000">
              <v:stroke dashstyle="solid"/>
            </v:line>
            <v:line style="position:absolute" from="8195,367" to="8308,367" stroked="true" strokeweight=".175403pt" strokecolor="#0000ff">
              <v:stroke dashstyle="solid"/>
            </v:line>
            <v:shape style="position:absolute;left:8139;top:229;width:467;height:205" type="#_x0000_t202" filled="false" stroked="true" strokeweight=".179302pt" strokecolor="#000000">
              <v:textbox inset="0,0,0,0">
                <w:txbxContent>
                  <w:p>
                    <w:pPr>
                      <w:spacing w:line="278" w:lineRule="auto" w:before="46"/>
                      <w:ind w:left="225" w:right="-1" w:firstLine="0"/>
                      <w:jc w:val="left"/>
                      <w:rPr>
                        <w:rFonts w:ascii="Arial"/>
                        <w:sz w:val="5"/>
                      </w:rPr>
                    </w:pPr>
                    <w:r>
                      <w:rPr>
                        <w:rFonts w:ascii="Arial"/>
                        <w:w w:val="125"/>
                        <w:sz w:val="5"/>
                      </w:rPr>
                      <w:t>non-BM BM</w:t>
                    </w:r>
                  </w:p>
                </w:txbxContent>
              </v:textbox>
              <v:stroke dashstyle="solid"/>
              <w10:wrap type="none"/>
            </v:shape>
            <w10:wrap type="none"/>
          </v:group>
        </w:pict>
      </w:r>
      <w:r>
        <w:rPr/>
        <w:pict>
          <v:shape style="position:absolute;margin-left:64.784172pt;margin-top:38.404835pt;width:4.5pt;height:21.35pt;mso-position-horizontal-relative:page;mso-position-vertical-relative:paragraph;z-index:1672" type="#_x0000_t202" filled="false" stroked="false">
            <v:textbox inset="0,0,0,0" style="layout-flow:vertical;mso-layout-flow-alt:bottom-to-top">
              <w:txbxContent>
                <w:p>
                  <w:pPr>
                    <w:spacing w:before="22"/>
                    <w:ind w:left="20" w:right="0" w:firstLine="0"/>
                    <w:jc w:val="left"/>
                    <w:rPr>
                      <w:rFonts w:ascii="Arial"/>
                      <w:sz w:val="4"/>
                    </w:rPr>
                  </w:pPr>
                  <w:r>
                    <w:rPr>
                      <w:rFonts w:ascii="Arial"/>
                      <w:w w:val="165"/>
                      <w:sz w:val="4"/>
                    </w:rPr>
                    <w:t>Cum survival</w:t>
                  </w:r>
                </w:p>
              </w:txbxContent>
            </v:textbox>
            <w10:wrap type="none"/>
          </v:shape>
        </w:pict>
      </w:r>
      <w:r>
        <w:rPr/>
        <w:pict>
          <v:shape style="position:absolute;margin-left:70.02092pt;margin-top:38.071205pt;width:4.5pt;height:22.1pt;mso-position-horizontal-relative:page;mso-position-vertical-relative:paragraph;z-index:1816" type="#_x0000_t202" filled="false" stroked="false">
            <v:textbox inset="0,0,0,0" style="layout-flow:vertical;mso-layout-flow-alt:bottom-to-top">
              <w:txbxContent>
                <w:p>
                  <w:pPr>
                    <w:tabs>
                      <w:tab w:pos="330" w:val="left" w:leader="none"/>
                    </w:tabs>
                    <w:spacing w:before="22"/>
                    <w:ind w:left="20" w:right="0" w:firstLine="0"/>
                    <w:jc w:val="left"/>
                    <w:rPr>
                      <w:rFonts w:ascii="Arial"/>
                      <w:sz w:val="4"/>
                    </w:rPr>
                  </w:pPr>
                  <w:r>
                    <w:rPr>
                      <w:rFonts w:ascii="Arial"/>
                      <w:w w:val="165"/>
                      <w:sz w:val="4"/>
                    </w:rPr>
                    <w:t>0.4</w:t>
                    <w:tab/>
                    <w:t>0.6</w:t>
                  </w:r>
                </w:p>
              </w:txbxContent>
            </v:textbox>
            <w10:wrap type="none"/>
          </v:shape>
        </w:pict>
      </w:r>
      <w:r>
        <w:rPr/>
        <w:pict>
          <v:shape style="position:absolute;margin-left:70.02092pt;margin-top:22.344824pt;width:4.5pt;height:6.6pt;mso-position-horizontal-relative:page;mso-position-vertical-relative:paragraph;z-index:1840" type="#_x0000_t202" filled="false" stroked="false">
            <v:textbox inset="0,0,0,0" style="layout-flow:vertical;mso-layout-flow-alt:bottom-to-top">
              <w:txbxContent>
                <w:p>
                  <w:pPr>
                    <w:spacing w:before="22"/>
                    <w:ind w:left="20" w:right="0" w:firstLine="0"/>
                    <w:jc w:val="left"/>
                    <w:rPr>
                      <w:rFonts w:ascii="Arial"/>
                      <w:sz w:val="4"/>
                    </w:rPr>
                  </w:pPr>
                  <w:r>
                    <w:rPr>
                      <w:rFonts w:ascii="Arial"/>
                      <w:w w:val="165"/>
                      <w:sz w:val="4"/>
                    </w:rPr>
                    <w:t>0.8</w:t>
                  </w:r>
                </w:p>
              </w:txbxContent>
            </v:textbox>
            <w10:wrap type="none"/>
          </v:shape>
        </w:pict>
      </w:r>
      <w:r>
        <w:rPr/>
        <w:pict>
          <v:shape style="position:absolute;margin-left:184.820953pt;margin-top:36.61797pt;width:4.7pt;height:21.85pt;mso-position-horizontal-relative:page;mso-position-vertical-relative:paragraph;z-index:2320" type="#_x0000_t202" filled="false" stroked="false">
            <v:textbox inset="0,0,0,0" style="layout-flow:vertical;mso-layout-flow-alt:bottom-to-top">
              <w:txbxContent>
                <w:p>
                  <w:pPr>
                    <w:spacing w:before="25"/>
                    <w:ind w:left="20" w:right="0" w:firstLine="0"/>
                    <w:jc w:val="left"/>
                    <w:rPr>
                      <w:rFonts w:ascii="Arial"/>
                      <w:sz w:val="4"/>
                    </w:rPr>
                  </w:pPr>
                  <w:r>
                    <w:rPr>
                      <w:rFonts w:ascii="Arial"/>
                      <w:w w:val="170"/>
                      <w:sz w:val="4"/>
                    </w:rPr>
                    <w:t>Cum survival</w:t>
                  </w:r>
                </w:p>
              </w:txbxContent>
            </v:textbox>
            <w10:wrap type="none"/>
          </v:shape>
        </w:pict>
      </w:r>
      <w:r>
        <w:rPr/>
        <w:pict>
          <v:shape style="position:absolute;margin-left:190.455429pt;margin-top:36.276081pt;width:4.7pt;height:22.6pt;mso-position-horizontal-relative:page;mso-position-vertical-relative:paragraph;z-index:2392" type="#_x0000_t202" filled="false" stroked="false">
            <v:textbox inset="0,0,0,0" style="layout-flow:vertical;mso-layout-flow-alt:bottom-to-top">
              <w:txbxContent>
                <w:p>
                  <w:pPr>
                    <w:tabs>
                      <w:tab w:pos="337" w:val="left" w:leader="none"/>
                    </w:tabs>
                    <w:spacing w:before="25"/>
                    <w:ind w:left="20" w:right="0" w:firstLine="0"/>
                    <w:jc w:val="left"/>
                    <w:rPr>
                      <w:rFonts w:ascii="Arial"/>
                      <w:sz w:val="4"/>
                    </w:rPr>
                  </w:pPr>
                  <w:r>
                    <w:rPr>
                      <w:rFonts w:ascii="Arial"/>
                      <w:w w:val="170"/>
                      <w:sz w:val="4"/>
                    </w:rPr>
                    <w:t>0.4</w:t>
                    <w:tab/>
                    <w:t>0.6</w:t>
                  </w:r>
                </w:p>
              </w:txbxContent>
            </v:textbox>
            <w10:wrap type="none"/>
          </v:shape>
        </w:pict>
      </w:r>
      <w:r>
        <w:rPr/>
        <w:pict>
          <v:shape style="position:absolute;margin-left:190.455429pt;margin-top:20.160423pt;width:4.7pt;height:6.7pt;mso-position-horizontal-relative:page;mso-position-vertical-relative:paragraph;z-index:2416" type="#_x0000_t202" filled="false" stroked="false">
            <v:textbox inset="0,0,0,0" style="layout-flow:vertical;mso-layout-flow-alt:bottom-to-top">
              <w:txbxContent>
                <w:p>
                  <w:pPr>
                    <w:spacing w:before="25"/>
                    <w:ind w:left="20" w:right="0" w:firstLine="0"/>
                    <w:jc w:val="left"/>
                    <w:rPr>
                      <w:rFonts w:ascii="Arial"/>
                      <w:sz w:val="4"/>
                    </w:rPr>
                  </w:pPr>
                  <w:r>
                    <w:rPr>
                      <w:rFonts w:ascii="Arial"/>
                      <w:w w:val="170"/>
                      <w:sz w:val="4"/>
                    </w:rPr>
                    <w:t>0.8</w:t>
                  </w:r>
                </w:p>
              </w:txbxContent>
            </v:textbox>
            <w10:wrap type="none"/>
          </v:shape>
        </w:pict>
      </w:r>
      <w:r>
        <w:rPr/>
        <w:pict>
          <v:shape style="position:absolute;margin-left:321.437836pt;margin-top:40.597961pt;width:5.55pt;height:5.85pt;mso-position-horizontal-relative:page;mso-position-vertical-relative:paragraph;z-index:3064"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0.6</w:t>
                  </w:r>
                </w:p>
              </w:txbxContent>
            </v:textbox>
            <w10:wrap type="none"/>
          </v:shape>
        </w:pict>
      </w:r>
      <w:r>
        <w:rPr/>
        <w:pict>
          <v:shape style="position:absolute;margin-left:321.437836pt;margin-top:24.585468pt;width:5.55pt;height:5.85pt;mso-position-horizontal-relative:page;mso-position-vertical-relative:paragraph;z-index:3088"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0.8</w:t>
                  </w:r>
                </w:p>
              </w:txbxContent>
            </v:textbox>
            <w10:wrap type="none"/>
          </v:shape>
        </w:pict>
      </w:r>
      <w:r>
        <w:rPr/>
        <w:pict>
          <v:shape style="position:absolute;margin-left:321.437836pt;margin-top:8.576481pt;width:5.55pt;height:5.85pt;mso-position-horizontal-relative:page;mso-position-vertical-relative:paragraph;z-index:3112"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1.0</w:t>
                  </w:r>
                </w:p>
              </w:txbxContent>
            </v:textbox>
            <w10:wrap type="none"/>
          </v:shape>
        </w:pict>
      </w:r>
      <w:r>
        <w:rPr>
          <w:rFonts w:ascii="Arial"/>
          <w:b/>
          <w:w w:val="125"/>
          <w:sz w:val="6"/>
        </w:rPr>
        <w:t>Survival functions(bone metastasis,BM)</w:t>
      </w:r>
    </w:p>
    <w:p>
      <w:pPr>
        <w:spacing w:after="0"/>
        <w:jc w:val="left"/>
        <w:rPr>
          <w:rFonts w:ascii="Arial"/>
          <w:sz w:val="6"/>
        </w:rPr>
        <w:sectPr>
          <w:type w:val="continuous"/>
          <w:pgSz w:w="11910" w:h="16850"/>
          <w:pgMar w:top="1080" w:bottom="1020" w:left="1060" w:right="0"/>
          <w:cols w:num="3" w:equalWidth="0">
            <w:col w:w="1882" w:space="590"/>
            <w:col w:w="1928" w:space="360"/>
            <w:col w:w="6090"/>
          </w:cols>
        </w:sect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spacing w:after="0"/>
        <w:rPr>
          <w:rFonts w:ascii="Arial"/>
          <w:sz w:val="20"/>
        </w:rPr>
        <w:sectPr>
          <w:type w:val="continuous"/>
          <w:pgSz w:w="11910" w:h="16850"/>
          <w:pgMar w:top="1080" w:bottom="1020" w:left="1060" w:right="0"/>
        </w:sectPr>
      </w:pPr>
    </w:p>
    <w:p>
      <w:pPr>
        <w:pStyle w:val="BodyText"/>
        <w:ind w:left="0"/>
        <w:rPr>
          <w:rFonts w:ascii="Arial"/>
          <w:b/>
          <w:sz w:val="6"/>
        </w:rPr>
      </w:pPr>
    </w:p>
    <w:p>
      <w:pPr>
        <w:pStyle w:val="BodyText"/>
        <w:ind w:left="0"/>
        <w:rPr>
          <w:rFonts w:ascii="Arial"/>
          <w:b/>
          <w:sz w:val="6"/>
        </w:rPr>
      </w:pPr>
    </w:p>
    <w:p>
      <w:pPr>
        <w:pStyle w:val="BodyText"/>
        <w:spacing w:before="5"/>
        <w:ind w:left="0"/>
        <w:rPr>
          <w:rFonts w:ascii="Arial"/>
          <w:b/>
          <w:sz w:val="8"/>
        </w:rPr>
      </w:pPr>
    </w:p>
    <w:p>
      <w:pPr>
        <w:tabs>
          <w:tab w:pos="689" w:val="left" w:leader="none"/>
        </w:tabs>
        <w:spacing w:before="0"/>
        <w:ind w:left="449" w:right="0" w:firstLine="0"/>
        <w:jc w:val="center"/>
        <w:rPr>
          <w:rFonts w:ascii="Arial"/>
          <w:sz w:val="6"/>
        </w:rPr>
      </w:pPr>
      <w:r>
        <w:rPr/>
        <w:pict>
          <v:shape style="position:absolute;margin-left:313.988312pt;margin-top:-53.517395pt;width:5.55pt;height:18.3pt;mso-position-horizontal-relative:page;mso-position-vertical-relative:paragraph;z-index:2968"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Cum</w:t>
                  </w:r>
                  <w:r>
                    <w:rPr>
                      <w:rFonts w:ascii="Arial"/>
                      <w:spacing w:val="-12"/>
                      <w:sz w:val="6"/>
                    </w:rPr>
                    <w:t> </w:t>
                  </w:r>
                  <w:r>
                    <w:rPr>
                      <w:rFonts w:ascii="Arial"/>
                      <w:sz w:val="6"/>
                    </w:rPr>
                    <w:t>survival</w:t>
                  </w:r>
                </w:p>
              </w:txbxContent>
            </v:textbox>
            <w10:wrap type="none"/>
          </v:shape>
        </w:pict>
      </w:r>
      <w:r>
        <w:rPr/>
        <w:pict>
          <v:shape style="position:absolute;margin-left:321.437836pt;margin-top:-7.325855pt;width:5.55pt;height:5.85pt;mso-position-horizontal-relative:page;mso-position-vertical-relative:paragraph;z-index:2992"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0.0</w:t>
                  </w:r>
                </w:p>
              </w:txbxContent>
            </v:textbox>
            <w10:wrap type="none"/>
          </v:shape>
        </w:pict>
      </w:r>
      <w:r>
        <w:rPr/>
        <w:pict>
          <v:shape style="position:absolute;margin-left:321.437836pt;margin-top:-23.159439pt;width:5.55pt;height:5.85pt;mso-position-horizontal-relative:page;mso-position-vertical-relative:paragraph;z-index:3016"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0.2</w:t>
                  </w:r>
                </w:p>
              </w:txbxContent>
            </v:textbox>
            <w10:wrap type="none"/>
          </v:shape>
        </w:pict>
      </w:r>
      <w:r>
        <w:rPr/>
        <w:pict>
          <v:shape style="position:absolute;margin-left:321.437836pt;margin-top:-39.171932pt;width:5.55pt;height:5.85pt;mso-position-horizontal-relative:page;mso-position-vertical-relative:paragraph;z-index:3040"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0.4</w:t>
                  </w:r>
                </w:p>
              </w:txbxContent>
            </v:textbox>
            <w10:wrap type="none"/>
          </v:shape>
        </w:pict>
      </w:r>
      <w:r>
        <w:rPr>
          <w:rFonts w:ascii="Arial"/>
          <w:w w:val="85"/>
          <w:sz w:val="6"/>
        </w:rPr>
        <w:t>0</w:t>
        <w:tab/>
        <w:t>500 1000 1500 2000 2500 3000 </w:t>
      </w:r>
      <w:r>
        <w:rPr>
          <w:rFonts w:ascii="Arial"/>
          <w:spacing w:val="-4"/>
          <w:w w:val="85"/>
          <w:sz w:val="6"/>
        </w:rPr>
        <w:t>3500</w:t>
      </w:r>
    </w:p>
    <w:p>
      <w:pPr>
        <w:pStyle w:val="BodyText"/>
        <w:spacing w:before="3"/>
        <w:ind w:left="0"/>
        <w:rPr>
          <w:rFonts w:ascii="Arial"/>
          <w:sz w:val="8"/>
        </w:rPr>
      </w:pPr>
    </w:p>
    <w:p>
      <w:pPr>
        <w:spacing w:before="0"/>
        <w:ind w:left="618" w:right="0" w:firstLine="0"/>
        <w:jc w:val="center"/>
        <w:rPr>
          <w:rFonts w:ascii="Arial"/>
          <w:sz w:val="6"/>
        </w:rPr>
      </w:pPr>
      <w:r>
        <w:rPr>
          <w:rFonts w:ascii="Arial"/>
          <w:w w:val="85"/>
          <w:sz w:val="6"/>
        </w:rPr>
        <w:t>time(days)</w:t>
      </w:r>
    </w:p>
    <w:p>
      <w:pPr>
        <w:pStyle w:val="BodyText"/>
        <w:ind w:left="0"/>
        <w:rPr>
          <w:rFonts w:ascii="Arial"/>
          <w:sz w:val="8"/>
        </w:rPr>
      </w:pPr>
      <w:r>
        <w:rPr/>
        <w:br w:type="column"/>
      </w:r>
      <w:r>
        <w:rPr>
          <w:rFonts w:ascii="Arial"/>
          <w:sz w:val="8"/>
        </w:rPr>
      </w:r>
    </w:p>
    <w:p>
      <w:pPr>
        <w:pStyle w:val="BodyText"/>
        <w:spacing w:before="1"/>
        <w:ind w:left="0"/>
        <w:rPr>
          <w:rFonts w:ascii="Arial"/>
          <w:sz w:val="11"/>
        </w:rPr>
      </w:pPr>
    </w:p>
    <w:p>
      <w:pPr>
        <w:tabs>
          <w:tab w:pos="667" w:val="left" w:leader="none"/>
        </w:tabs>
        <w:spacing w:before="0"/>
        <w:ind w:left="409" w:right="0" w:firstLine="0"/>
        <w:jc w:val="center"/>
        <w:rPr>
          <w:rFonts w:ascii="Arial"/>
          <w:sz w:val="7"/>
        </w:rPr>
      </w:pPr>
      <w:r>
        <w:rPr/>
        <w:pict>
          <v:shape style="position:absolute;margin-left:70.02092pt;margin-top:-10.153402pt;width:4.5pt;height:6.6pt;mso-position-horizontal-relative:page;mso-position-vertical-relative:paragraph;z-index:1768" type="#_x0000_t202" filled="false" stroked="false">
            <v:textbox inset="0,0,0,0" style="layout-flow:vertical;mso-layout-flow-alt:bottom-to-top">
              <w:txbxContent>
                <w:p>
                  <w:pPr>
                    <w:spacing w:before="22"/>
                    <w:ind w:left="20" w:right="0" w:firstLine="0"/>
                    <w:jc w:val="left"/>
                    <w:rPr>
                      <w:rFonts w:ascii="Arial"/>
                      <w:sz w:val="4"/>
                    </w:rPr>
                  </w:pPr>
                  <w:r>
                    <w:rPr>
                      <w:rFonts w:ascii="Arial"/>
                      <w:w w:val="165"/>
                      <w:sz w:val="4"/>
                    </w:rPr>
                    <w:t>0.0</w:t>
                  </w:r>
                </w:p>
              </w:txbxContent>
            </v:textbox>
            <w10:wrap type="none"/>
          </v:shape>
        </w:pict>
      </w:r>
      <w:r>
        <w:rPr/>
        <w:pict>
          <v:shape style="position:absolute;margin-left:70.02092pt;margin-top:-25.879782pt;width:4.5pt;height:6.6pt;mso-position-horizontal-relative:page;mso-position-vertical-relative:paragraph;z-index:1792" type="#_x0000_t202" filled="false" stroked="false">
            <v:textbox inset="0,0,0,0" style="layout-flow:vertical;mso-layout-flow-alt:bottom-to-top">
              <w:txbxContent>
                <w:p>
                  <w:pPr>
                    <w:spacing w:before="22"/>
                    <w:ind w:left="20" w:right="0" w:firstLine="0"/>
                    <w:jc w:val="left"/>
                    <w:rPr>
                      <w:rFonts w:ascii="Arial"/>
                      <w:sz w:val="4"/>
                    </w:rPr>
                  </w:pPr>
                  <w:r>
                    <w:rPr>
                      <w:rFonts w:ascii="Arial"/>
                      <w:w w:val="165"/>
                      <w:sz w:val="4"/>
                    </w:rPr>
                    <w:t>0.2</w:t>
                  </w:r>
                </w:p>
              </w:txbxContent>
            </v:textbox>
            <w10:wrap type="none"/>
          </v:shape>
        </w:pict>
      </w:r>
      <w:r>
        <w:rPr/>
        <w:pict>
          <v:shape style="position:absolute;margin-left:190.455429pt;margin-top:-10.790941pt;width:4.7pt;height:6.7pt;mso-position-horizontal-relative:page;mso-position-vertical-relative:paragraph;z-index:2344" type="#_x0000_t202" filled="false" stroked="false">
            <v:textbox inset="0,0,0,0" style="layout-flow:vertical;mso-layout-flow-alt:bottom-to-top">
              <w:txbxContent>
                <w:p>
                  <w:pPr>
                    <w:spacing w:before="25"/>
                    <w:ind w:left="20" w:right="0" w:firstLine="0"/>
                    <w:jc w:val="left"/>
                    <w:rPr>
                      <w:rFonts w:ascii="Arial"/>
                      <w:sz w:val="4"/>
                    </w:rPr>
                  </w:pPr>
                  <w:r>
                    <w:rPr>
                      <w:rFonts w:ascii="Arial"/>
                      <w:w w:val="170"/>
                      <w:sz w:val="4"/>
                    </w:rPr>
                    <w:t>0.0</w:t>
                  </w:r>
                </w:p>
              </w:txbxContent>
            </v:textbox>
            <w10:wrap type="none"/>
          </v:shape>
        </w:pict>
      </w:r>
      <w:r>
        <w:rPr/>
        <w:pict>
          <v:shape style="position:absolute;margin-left:190.455429pt;margin-top:-26.906599pt;width:4.7pt;height:6.7pt;mso-position-horizontal-relative:page;mso-position-vertical-relative:paragraph;z-index:2368" type="#_x0000_t202" filled="false" stroked="false">
            <v:textbox inset="0,0,0,0" style="layout-flow:vertical;mso-layout-flow-alt:bottom-to-top">
              <w:txbxContent>
                <w:p>
                  <w:pPr>
                    <w:spacing w:before="25"/>
                    <w:ind w:left="20" w:right="0" w:firstLine="0"/>
                    <w:jc w:val="left"/>
                    <w:rPr>
                      <w:rFonts w:ascii="Arial"/>
                      <w:sz w:val="4"/>
                    </w:rPr>
                  </w:pPr>
                  <w:r>
                    <w:rPr>
                      <w:rFonts w:ascii="Arial"/>
                      <w:w w:val="170"/>
                      <w:sz w:val="4"/>
                    </w:rPr>
                    <w:t>0.2</w:t>
                  </w:r>
                </w:p>
              </w:txbxContent>
            </v:textbox>
            <w10:wrap type="none"/>
          </v:shape>
        </w:pict>
      </w:r>
      <w:r>
        <w:rPr>
          <w:rFonts w:ascii="Arial"/>
          <w:w w:val="80"/>
          <w:sz w:val="7"/>
        </w:rPr>
        <w:t>0</w:t>
        <w:tab/>
        <w:t>500 1000 1500 2000 2500 3000</w:t>
      </w:r>
      <w:r>
        <w:rPr>
          <w:rFonts w:ascii="Arial"/>
          <w:spacing w:val="10"/>
          <w:w w:val="80"/>
          <w:sz w:val="7"/>
        </w:rPr>
        <w:t> </w:t>
      </w:r>
      <w:r>
        <w:rPr>
          <w:rFonts w:ascii="Arial"/>
          <w:w w:val="80"/>
          <w:sz w:val="7"/>
        </w:rPr>
        <w:t>3500</w:t>
      </w:r>
    </w:p>
    <w:p>
      <w:pPr>
        <w:pStyle w:val="BodyText"/>
        <w:spacing w:before="7"/>
        <w:ind w:left="0"/>
        <w:rPr>
          <w:rFonts w:ascii="Arial"/>
          <w:sz w:val="7"/>
        </w:rPr>
      </w:pPr>
    </w:p>
    <w:p>
      <w:pPr>
        <w:spacing w:before="0"/>
        <w:ind w:left="591" w:right="0" w:firstLine="0"/>
        <w:jc w:val="center"/>
        <w:rPr>
          <w:rFonts w:ascii="Arial"/>
          <w:sz w:val="7"/>
        </w:rPr>
      </w:pPr>
      <w:r>
        <w:rPr>
          <w:rFonts w:ascii="Arial"/>
          <w:w w:val="80"/>
          <w:sz w:val="7"/>
        </w:rPr>
        <w:t>time(days)</w:t>
      </w:r>
    </w:p>
    <w:p>
      <w:pPr>
        <w:pStyle w:val="BodyText"/>
        <w:ind w:left="0"/>
        <w:rPr>
          <w:rFonts w:ascii="Arial"/>
          <w:sz w:val="6"/>
        </w:rPr>
      </w:pPr>
      <w:r>
        <w:rPr/>
        <w:br w:type="column"/>
      </w:r>
      <w:r>
        <w:rPr>
          <w:rFonts w:ascii="Arial"/>
          <w:sz w:val="6"/>
        </w:rPr>
      </w:r>
    </w:p>
    <w:p>
      <w:pPr>
        <w:pStyle w:val="BodyText"/>
        <w:ind w:left="0"/>
        <w:rPr>
          <w:rFonts w:ascii="Arial"/>
          <w:sz w:val="6"/>
        </w:rPr>
      </w:pPr>
    </w:p>
    <w:p>
      <w:pPr>
        <w:pStyle w:val="BodyText"/>
        <w:ind w:left="0"/>
        <w:rPr>
          <w:rFonts w:ascii="Arial"/>
          <w:sz w:val="6"/>
        </w:rPr>
      </w:pPr>
    </w:p>
    <w:p>
      <w:pPr>
        <w:pStyle w:val="BodyText"/>
        <w:spacing w:before="3"/>
        <w:ind w:left="0"/>
        <w:rPr>
          <w:rFonts w:ascii="Arial"/>
          <w:sz w:val="7"/>
        </w:rPr>
      </w:pPr>
    </w:p>
    <w:p>
      <w:pPr>
        <w:tabs>
          <w:tab w:pos="242" w:val="left" w:leader="none"/>
        </w:tabs>
        <w:spacing w:before="0"/>
        <w:ind w:left="0" w:right="2855" w:firstLine="0"/>
        <w:jc w:val="center"/>
        <w:rPr>
          <w:rFonts w:ascii="Arial"/>
          <w:sz w:val="5"/>
        </w:rPr>
      </w:pPr>
      <w:r>
        <w:rPr>
          <w:rFonts w:ascii="Arial"/>
          <w:w w:val="125"/>
          <w:sz w:val="5"/>
        </w:rPr>
        <w:t>0</w:t>
        <w:tab/>
        <w:t>500 1000 1500 2000 2500 3000</w:t>
      </w:r>
      <w:r>
        <w:rPr>
          <w:rFonts w:ascii="Arial"/>
          <w:spacing w:val="11"/>
          <w:w w:val="125"/>
          <w:sz w:val="5"/>
        </w:rPr>
        <w:t> </w:t>
      </w:r>
      <w:r>
        <w:rPr>
          <w:rFonts w:ascii="Arial"/>
          <w:w w:val="125"/>
          <w:sz w:val="5"/>
        </w:rPr>
        <w:t>3500</w:t>
      </w:r>
    </w:p>
    <w:p>
      <w:pPr>
        <w:pStyle w:val="BodyText"/>
        <w:spacing w:before="10"/>
        <w:ind w:left="0"/>
        <w:rPr>
          <w:rFonts w:ascii="Arial"/>
          <w:sz w:val="6"/>
        </w:rPr>
      </w:pPr>
    </w:p>
    <w:p>
      <w:pPr>
        <w:spacing w:before="0"/>
        <w:ind w:left="0" w:right="2694" w:firstLine="0"/>
        <w:jc w:val="center"/>
        <w:rPr>
          <w:rFonts w:ascii="Arial"/>
          <w:sz w:val="5"/>
        </w:rPr>
      </w:pPr>
      <w:r>
        <w:rPr>
          <w:rFonts w:ascii="Arial"/>
          <w:w w:val="125"/>
          <w:sz w:val="5"/>
        </w:rPr>
        <w:t>time(days)</w:t>
      </w:r>
    </w:p>
    <w:p>
      <w:pPr>
        <w:spacing w:after="0"/>
        <w:jc w:val="center"/>
        <w:rPr>
          <w:rFonts w:ascii="Arial"/>
          <w:sz w:val="5"/>
        </w:rPr>
        <w:sectPr>
          <w:type w:val="continuous"/>
          <w:pgSz w:w="11910" w:h="16850"/>
          <w:pgMar w:top="1080" w:bottom="1020" w:left="1060" w:right="0"/>
          <w:cols w:num="3" w:equalWidth="0">
            <w:col w:w="2352" w:space="64"/>
            <w:col w:w="2536" w:space="114"/>
            <w:col w:w="5784"/>
          </w:cols>
        </w:sectPr>
      </w:pPr>
    </w:p>
    <w:p>
      <w:pPr>
        <w:tabs>
          <w:tab w:pos="3476" w:val="left" w:leader="none"/>
          <w:tab w:pos="5987" w:val="left" w:leader="none"/>
        </w:tabs>
        <w:spacing w:before="120"/>
        <w:ind w:left="817" w:right="0" w:firstLine="0"/>
        <w:jc w:val="left"/>
        <w:rPr>
          <w:sz w:val="15"/>
        </w:rPr>
      </w:pPr>
      <w:r>
        <w:rPr>
          <w:sz w:val="15"/>
        </w:rPr>
        <w:t>图</w:t>
      </w:r>
      <w:r>
        <w:rPr>
          <w:rFonts w:ascii="Times New Roman" w:eastAsia="Times New Roman"/>
          <w:sz w:val="15"/>
        </w:rPr>
        <w:t>1G </w:t>
      </w:r>
      <w:r>
        <w:rPr>
          <w:rFonts w:ascii="Times New Roman" w:eastAsia="Times New Roman"/>
          <w:spacing w:val="1"/>
          <w:sz w:val="15"/>
        </w:rPr>
        <w:t> </w:t>
      </w:r>
      <w:r>
        <w:rPr>
          <w:spacing w:val="-3"/>
          <w:sz w:val="15"/>
        </w:rPr>
        <w:t>吸</w:t>
      </w:r>
      <w:r>
        <w:rPr>
          <w:sz w:val="15"/>
        </w:rPr>
        <w:t>烟史</w:t>
        <w:tab/>
        <w:t>图</w:t>
      </w:r>
      <w:r>
        <w:rPr>
          <w:rFonts w:ascii="Times New Roman" w:eastAsia="Times New Roman"/>
          <w:sz w:val="15"/>
        </w:rPr>
        <w:t>1H   </w:t>
      </w:r>
      <w:r>
        <w:rPr>
          <w:rFonts w:ascii="Times New Roman" w:eastAsia="Times New Roman"/>
          <w:spacing w:val="1"/>
          <w:sz w:val="15"/>
        </w:rPr>
        <w:t> </w:t>
      </w:r>
      <w:r>
        <w:rPr>
          <w:spacing w:val="-3"/>
          <w:sz w:val="15"/>
        </w:rPr>
        <w:t>饮</w:t>
      </w:r>
      <w:r>
        <w:rPr>
          <w:sz w:val="15"/>
        </w:rPr>
        <w:t>酒史</w:t>
        <w:tab/>
      </w:r>
      <w:r>
        <w:rPr>
          <w:spacing w:val="-3"/>
          <w:sz w:val="15"/>
        </w:rPr>
        <w:t>图</w:t>
      </w:r>
      <w:r>
        <w:rPr>
          <w:rFonts w:ascii="Times New Roman" w:eastAsia="Times New Roman"/>
          <w:sz w:val="15"/>
        </w:rPr>
        <w:t>1I  </w:t>
      </w:r>
      <w:r>
        <w:rPr>
          <w:spacing w:val="-3"/>
          <w:sz w:val="15"/>
        </w:rPr>
        <w:t>骨</w:t>
      </w:r>
      <w:r>
        <w:rPr>
          <w:sz w:val="15"/>
        </w:rPr>
        <w:t>转</w:t>
      </w:r>
      <w:r>
        <w:rPr>
          <w:spacing w:val="-3"/>
          <w:sz w:val="15"/>
        </w:rPr>
        <w:t>移</w:t>
      </w:r>
      <w:r>
        <w:rPr>
          <w:sz w:val="15"/>
        </w:rPr>
        <w:t>发</w:t>
      </w:r>
      <w:r>
        <w:rPr>
          <w:spacing w:val="-3"/>
          <w:sz w:val="15"/>
        </w:rPr>
        <w:t>生</w:t>
      </w:r>
      <w:r>
        <w:rPr>
          <w:sz w:val="15"/>
        </w:rPr>
        <w:t>情况</w:t>
      </w:r>
    </w:p>
    <w:p>
      <w:pPr>
        <w:spacing w:after="0"/>
        <w:jc w:val="left"/>
        <w:rPr>
          <w:sz w:val="15"/>
        </w:rPr>
        <w:sectPr>
          <w:type w:val="continuous"/>
          <w:pgSz w:w="11910" w:h="16850"/>
          <w:pgMar w:top="1080" w:bottom="1020" w:left="1060" w:right="0"/>
        </w:sectPr>
      </w:pPr>
    </w:p>
    <w:p>
      <w:pPr>
        <w:pStyle w:val="BodyText"/>
        <w:ind w:left="0"/>
        <w:rPr>
          <w:sz w:val="8"/>
        </w:rPr>
      </w:pPr>
    </w:p>
    <w:p>
      <w:pPr>
        <w:pStyle w:val="BodyText"/>
        <w:spacing w:before="12"/>
        <w:ind w:left="0"/>
        <w:rPr>
          <w:sz w:val="10"/>
        </w:rPr>
      </w:pPr>
    </w:p>
    <w:p>
      <w:pPr>
        <w:spacing w:before="0"/>
        <w:ind w:left="937" w:right="0" w:firstLine="0"/>
        <w:jc w:val="left"/>
        <w:rPr>
          <w:rFonts w:ascii="Arial"/>
          <w:b/>
          <w:sz w:val="7"/>
        </w:rPr>
      </w:pPr>
      <w:r>
        <w:rPr/>
        <w:pict>
          <v:group style="position:absolute;margin-left:78.560837pt;margin-top:9.154959pt;width:107.2pt;height:96.35pt;mso-position-horizontal-relative:page;mso-position-vertical-relative:paragraph;z-index:1504" coordorigin="1571,183" coordsize="2144,1927">
            <v:shape style="position:absolute;left:1381;top:-7762;width:11158;height:10031" coordorigin="1382,-7762" coordsize="11158,10031" path="m1606,2075l3505,2075m1606,2075l1606,2110m1879,2075l1879,2110m2148,2075l2148,2110m2421,2075l2421,2110m2690,2075l2690,2110m2963,2075l2963,2110m3232,2075l3232,2110m3505,2075l3505,2110m1606,2002l1606,254m1606,2002l1571,2002m1606,1656l1571,1656m1606,1305l1571,1305m1606,955l1571,955m1606,605l1571,605m1606,254l1571,254m1606,2075l3713,2075,3713,185,1606,185,1606,2075e" filled="false" stroked="true" strokeweight=".191905pt" strokecolor="#000000">
              <v:path arrowok="t"/>
              <v:stroke dashstyle="solid"/>
            </v:shape>
            <v:shape style="position:absolute;left:1605;top:254;width:1550;height:1748" coordorigin="1606,254" coordsize="1550,1748" path="m1606,254l1614,254,1614,258,1617,258,1617,262,1617,266,1621,266,1621,270,1625,270,1629,270,1629,274,1633,274,1633,277,1637,277,1637,281,1644,281,1644,285,1648,285,1648,289,1652,289,1652,293,1652,297,1656,297,1656,301,1656,308,1660,308,1660,312,1660,316,1660,320,1667,320,1667,324,1671,324,1671,327,1675,327,1675,335,1675,339,1675,343,1679,343,1679,347,1679,351,1679,354,1683,354,1683,358,1683,362,1687,362,1687,370,1687,374,1687,381,1690,381,1690,385,1690,389,1694,389,1694,393,1694,397,1698,397,1698,404,1698,408,1698,412,1702,412,1702,416,1706,416,1706,420,1706,424,1706,428,1706,431,1710,431,1710,435,1710,439,1710,443,1710,447,1710,451,1714,451,1714,454,1714,458,1714,462,1714,466,1714,470,1717,470,1717,474,1721,474,1721,478,1721,481,1721,485,1721,489,1725,489,1725,493,1729,493,1729,497,1729,505,1729,508,1729,512,1737,512,1737,516,1740,516,1740,520,1740,528,1740,535,1740,539,1744,539,1744,543,1744,547,1744,555,1748,555,1748,558,1748,562,1752,562,1752,566,1752,570,1752,574,1752,578,1756,578,1756,581,1756,585,1756,589,1756,593,1756,597,1760,597,1760,601,1760,605,1764,605,1764,612,1764,616,1764,620,1764,624,1767,624,1767,628,1767,632,1767,635,1767,639,1771,639,1771,643,1771,647,1771,651,1775,651,1775,655,1775,659,1779,659,1779,662,1783,662,1783,666,1783,670,1783,678,1787,678,1787,682,1787,685,1790,685,1790,689,1790,693,1794,693,1794,697,1794,701,1794,705,1794,709,1798,709,1798,716,1798,724,1802,724,1802,732,1806,732,1806,743,1806,755,1806,759,1810,759,1810,762,1813,762,1813,766,1813,770,1813,774,1817,774,1817,782,1817,786,1821,786,1821,789,1821,793,1821,797,1825,797,1825,801,1825,805,1825,809,1829,809,1829,813,1829,816,1829,820,1829,824,1829,828,1833,828,1833,832,1837,832,1837,836,1840,836,1840,839,1840,843,1844,843,1844,847,1844,851,1844,855,1848,855,1848,859,1848,863,1852,863,1852,866,1852,870,1852,874,1852,878,1856,878,1856,882,1856,886,1860,886,1860,889,1863,889,1863,893,1863,897,1867,897,1867,901,1867,909,1871,909,1871,913,1875,913,1875,916,1875,920,1875,924,1879,924,1879,928,1879,932,1883,932,1883,936,1883,940,1883,943,1886,943,1886,947,1886,951,1886,955,1886,959,1886,963,1890,963,1890,967,1890,970,1894,970,1898,970,1898,974,1898,978,1898,982,1902,982,1902,986,1906,986,1906,993,1906,997,1910,997,1910,1001,1913,1001,1913,1005,1917,1005,1917,1009,1917,1013,1917,1017,1921,1017,1921,1020,1925,1020,1925,1024,1929,1024,1929,1028,1933,1028,1933,1032,1933,1036,1936,1036,1936,1036,1936,1044,1936,1047,1936,1051,1936,1055,1940,1055,1940,1063,1944,1063,1944,1067,1944,1070,1948,1070,1948,1074,1952,1074,1952,1078,1956,1078,1956,1082,1956,1086,1960,1086,1967,1086,1967,1090,1967,1097,1971,1097,1971,1101,1971,1105,1975,1105,1975,1109,1975,1113,1979,1113,1979,1117,1983,1117,1983,1124,1983,1128,1983,1132,1986,1132,1986,1136,1986,1140,1990,1140,1990,1147,1990,1151,1994,1151,1994,1155,1994,1159,1994,1163,1998,1163,1998,1167,2006,1167,2006,1171,2006,1174,2006,1178,2010,1178,2010,1182,2010,1186,2010,1190,2010,1194,2013,1194,2013,1197,2013,1201,2017,1201,2017,1205,2017,1209,2021,1209,2025,1209,2025,1213,2025,1217,2029,1217,2029,1221,2029,1224,2033,1224,2033,1228,2033,1232,2036,1232,2036,1236,2036,1240,2036,1244,2036,1248,2040,1248,2040,1251,2048,1251,2052,1251,2052,1255,2056,1255,2056,1263,2056,1267,2059,1267,2059,1271,2059,1275,2059,1278,2063,1278,2063,1282,2067,1282,2067,1286,2071,1286,2071,1290,2071,1294,2075,1294,2075,1298,2079,1298,2079,1301,2079,1305,2083,1305,2083,1309,2086,1309,2086,1313,2090,1313,2090,1321,2094,1321,2094,1324,2098,1324,2098,1328,2102,1328,2102,1332,2102,1336,2102,1340,2106,1340,2106,1344,2109,1344,2109,1348,2117,1348,2117,1352,2121,1352,2121,1355,2121,1359,2129,1359,2129,1363,2133,1363,2133,1367,2136,1367,2136,1371,2140,1371,2144,1371,2144,1375,2148,1375,2148,1378,2152,1378,2152,1382,2159,1382,2159,1386,2167,1386,2167,1390,2171,1390,2171,1394,2171,1398,2175,1398,2175,1402,2186,1402,2186,1405,2186,1413,2190,1413,2190,1417,2194,1417,2198,1417,2198,1421,2198,1425,2198,1428,2206,1428,2206,1432,2209,1432,2209,1436,2213,1436,2213,1440,2217,1440,2217,1444,2217,1448,2221,1448,2225,1448,2225,1452,2229,1452,2229,1459,2232,1459,2232,1463,2240,1463,2240,1467,2244,1467,2244,1471,2244,1475,2248,1475,2248,1479,2252,1479,2252,1482,2256,1482,2256,1486,2256,1490,2259,1490,2259,1498,2279,1498,2279,1502,2279,1505,2282,1505,2282,1509,2294,1509,2294,1513,2302,1513,2302,1517,2305,1517,2305,1521,2309,1521,2309,1525,2313,1525,2313,1529,2321,1529,2329,1529,2329,1532,2336,1532,2336,1536,2340,1536,2340,1540,2344,1540,2344,1544,2348,1544,2348,1548,2363,1548,2367,1548,2367,1552,2375,1552,2375,1555,2375,1559,2379,1559,2379,1563,2382,1563,2382,1567,2386,1567,2386,1571,2398,1571,2398,1575,2398,1579,2402,1579,2402,1583,2409,1583,2436,1583,2436,1586,2440,1586,2440,1590,2459,1590,2459,1594,2471,1594,2471,1598,2478,1598,2482,1598,2482,1602,2494,1602,2494,1606,2513,1606,2513,1609,2528,1609,2528,1613,2540,1613,2540,1617,2548,1617,2548,1621,2552,1621,2552,1625,2563,1625,2563,1629,2567,1629,2567,1636,2682,1636,2682,1648,2724,1648,2724,1663,2790,1663,2790,1686,3097,1686,3097,1844,3155,1844,3155,2002e" filled="false" stroked="true" strokeweight=".191906pt" strokecolor="#0000ff">
              <v:path arrowok="t"/>
              <v:stroke dashstyle="solid"/>
            </v:shape>
            <v:shape style="position:absolute;left:1605;top:254;width:2026;height:1329" coordorigin="1606,254" coordsize="2026,1329" path="m1606,254l1625,254,1625,262,1648,262,1648,266,1648,270,1664,270,1664,281,1671,281,1671,285,1675,285,1675,289,1683,289,1683,293,1706,293,1706,301,1710,301,1710,304,1710,308,1717,308,1717,316,1721,316,1721,320,1733,320,1733,324,1737,324,1737,331,1737,335,1737,339,1740,339,1740,347,1748,347,1748,351,1779,351,1779,362,1783,362,1783,366,1787,366,1787,374,1794,374,1794,381,1798,381,1798,389,1806,389,1806,393,1806,401,1821,401,1821,404,1821,412,1825,412,1825,416,1837,416,1837,420,1837,428,1844,428,1844,431,1844,439,1844,443,1848,443,1848,447,1848,454,1863,454,1863,458,1867,458,1867,466,1875,466,1875,470,1886,470,1886,478,1890,478,1890,481,1890,489,1894,489,1894,493,1894,497,1898,497,1898,505,1898,508,1902,508,1902,516,1902,520,1906,520,1906,528,1910,528,1910,532,1910,539,1913,539,1913,543,1913,551,1917,551,1917,555,1925,555,1925,562,1929,562,1929,566,1933,566,1933,574,1944,574,1944,585,1944,589,1948,589,1948,597,1963,597,1963,601,1967,601,1967,608,1967,612,1971,612,1971,620,1975,620,1975,624,1986,624,1986,632,1990,632,1990,635,2002,635,2002,643,2002,647,2006,647,2006,655,2006,662,2010,662,2010,666,2010,674,2013,674,2013,678,2021,678,2021,685,2021,689,2025,689,2025,697,2029,697,2029,705,2036,705,2036,709,2040,709,2040,716,2048,716,2048,720,2052,720,2052,728,2056,728,2056,736,2063,736,2063,747,2075,747,2075,751,2086,751,2086,759,2102,759,2102,766,2113,766,2113,770,2113,778,2117,778,2117,786,2117,789,2117,797,2121,797,2121,805,2125,805,2125,809,2133,809,2133,816,2144,816,2144,824,2152,824,2152,828,2156,828,2156,836,2163,836,2163,843,2163,847,2171,847,2171,855,2175,855,2175,863,2198,863,2198,870,2202,870,2202,874,2206,874,2206,882,2209,882,2209,889,2213,889,2213,893,2229,893,2229,901,2240,901,2240,909,2259,909,2259,916,2267,916,2267,920,2271,920,2271,928,2286,928,2286,936,2294,936,2294,943,2302,943,2302,947,2321,947,2321,955,2321,963,2332,963,2332,970,2344,970,2344,974,2348,974,2348,982,2355,982,2355,997,2382,997,2382,1005,2390,1005,2390,1009,2405,1009,2405,1017,2409,1017,2409,1024,2409,1032,2417,1032,2417,1036,2463,1036,2463,1044,2467,1044,2467,1051,2471,1051,2471,1059,2482,1059,2482,1067,2486,1067,2486,1070,2513,1070,2513,1078,2552,1078,2552,1086,2575,1086,2575,1094,2651,1094,2651,1113,2701,1113,2701,1136,2705,1136,2705,1159,2917,1159,2917,1263,3059,1263,3059,1371,3359,1371,3359,1583,3632,1583e" filled="false" stroked="true" strokeweight=".191901pt" strokecolor="#ff0000">
              <v:path arrowok="t"/>
              <v:stroke dashstyle="solid"/>
            </v:shape>
            <v:line style="position:absolute" from="3178,331" to="3290,331" stroked="true" strokeweight=".191896pt" strokecolor="#ff0000">
              <v:stroke dashstyle="solid"/>
            </v:line>
            <v:line style="position:absolute" from="3178,404" to="3290,404" stroked="true" strokeweight=".191896pt" strokecolor="#0000ff">
              <v:stroke dashstyle="solid"/>
            </v:line>
            <v:shape style="position:absolute;left:3124;top:254;width:446;height:224" type="#_x0000_t202" filled="false" stroked="true" strokeweight=".191899pt" strokecolor="#000000">
              <v:textbox inset="0,0,0,0">
                <w:txbxContent>
                  <w:p>
                    <w:pPr>
                      <w:spacing w:before="45"/>
                      <w:ind w:left="221" w:right="0" w:firstLine="0"/>
                      <w:jc w:val="left"/>
                      <w:rPr>
                        <w:rFonts w:ascii="Arial"/>
                        <w:sz w:val="6"/>
                      </w:rPr>
                    </w:pPr>
                    <w:r>
                      <w:rPr>
                        <w:rFonts w:ascii="Arial"/>
                        <w:w w:val="105"/>
                        <w:sz w:val="6"/>
                      </w:rPr>
                      <w:t>LG</w:t>
                    </w:r>
                  </w:p>
                  <w:p>
                    <w:pPr>
                      <w:spacing w:before="5"/>
                      <w:ind w:left="221" w:right="0" w:firstLine="0"/>
                      <w:jc w:val="left"/>
                      <w:rPr>
                        <w:rFonts w:ascii="Arial"/>
                        <w:sz w:val="6"/>
                      </w:rPr>
                    </w:pPr>
                    <w:r>
                      <w:rPr>
                        <w:rFonts w:ascii="Arial"/>
                        <w:sz w:val="6"/>
                      </w:rPr>
                      <w:t>non-LG</w:t>
                    </w:r>
                  </w:p>
                </w:txbxContent>
              </v:textbox>
              <v:stroke dashstyle="solid"/>
              <w10:wrap type="none"/>
            </v:shape>
            <w10:wrap type="none"/>
          </v:group>
        </w:pict>
      </w:r>
      <w:r>
        <w:rPr/>
        <w:pict>
          <v:shape style="position:absolute;margin-left:72.282051pt;margin-top:44.65913pt;width:5.45pt;height:6.25pt;mso-position-horizontal-relative:page;mso-position-vertical-relative:paragraph;z-index:196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0.6</w:t>
                  </w:r>
                </w:p>
              </w:txbxContent>
            </v:textbox>
            <w10:wrap type="none"/>
          </v:shape>
        </w:pict>
      </w:r>
      <w:r>
        <w:rPr/>
        <w:pict>
          <v:shape style="position:absolute;margin-left:72.282051pt;margin-top:27.140966pt;width:5.45pt;height:6.25pt;mso-position-horizontal-relative:page;mso-position-vertical-relative:paragraph;z-index:1984"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0.8</w:t>
                  </w:r>
                </w:p>
              </w:txbxContent>
            </v:textbox>
            <w10:wrap type="none"/>
          </v:shape>
        </w:pict>
      </w:r>
      <w:r>
        <w:rPr/>
        <w:pict>
          <v:shape style="position:absolute;margin-left:72.282051pt;margin-top:9.626643pt;width:5.45pt;height:6.25pt;mso-position-horizontal-relative:page;mso-position-vertical-relative:paragraph;z-index:200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1.0</w:t>
                  </w:r>
                </w:p>
              </w:txbxContent>
            </v:textbox>
            <w10:wrap type="none"/>
          </v:shape>
        </w:pict>
      </w:r>
      <w:r>
        <w:rPr/>
        <w:pict>
          <v:shape style="position:absolute;margin-left:207.294296pt;margin-top:43.781494pt;width:5.5pt;height:6.2pt;mso-position-horizontal-relative:page;mso-position-vertical-relative:paragraph;z-index:2896"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0.6</w:t>
                  </w:r>
                </w:p>
              </w:txbxContent>
            </v:textbox>
            <w10:wrap type="none"/>
          </v:shape>
        </w:pict>
      </w:r>
      <w:r>
        <w:rPr/>
        <w:pict>
          <v:shape style="position:absolute;margin-left:207.294296pt;margin-top:26.325409pt;width:5.5pt;height:6.2pt;mso-position-horizontal-relative:page;mso-position-vertical-relative:paragraph;z-index:2920"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0.8</w:t>
                  </w:r>
                </w:p>
              </w:txbxContent>
            </v:textbox>
            <w10:wrap type="none"/>
          </v:shape>
        </w:pict>
      </w:r>
      <w:r>
        <w:rPr/>
        <w:pict>
          <v:shape style="position:absolute;margin-left:330.790833pt;margin-top:40.846901pt;width:5.3pt;height:19.75pt;mso-position-horizontal-relative:page;mso-position-vertical-relative:paragraph;z-index:3184"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Cum survival</w:t>
                  </w:r>
                </w:p>
              </w:txbxContent>
            </v:textbox>
            <w10:wrap type="none"/>
          </v:shape>
        </w:pict>
      </w:r>
      <w:r>
        <w:rPr/>
        <w:pict>
          <v:shape style="position:absolute;margin-left:337.726624pt;margin-top:39.031494pt;width:5.3pt;height:6.2pt;mso-position-horizontal-relative:page;mso-position-vertical-relative:paragraph;z-index:3568"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0.6</w:t>
                  </w:r>
                </w:p>
              </w:txbxContent>
            </v:textbox>
            <w10:wrap type="none"/>
          </v:shape>
        </w:pict>
      </w:r>
      <w:r>
        <w:rPr/>
        <w:pict>
          <v:shape style="position:absolute;margin-left:337.726624pt;margin-top:21.575409pt;width:5.3pt;height:6.2pt;mso-position-horizontal-relative:page;mso-position-vertical-relative:paragraph;z-index:3592"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0.8</w:t>
                  </w:r>
                </w:p>
              </w:txbxContent>
            </v:textbox>
            <w10:wrap type="none"/>
          </v:shape>
        </w:pict>
      </w:r>
      <w:r>
        <w:rPr>
          <w:rFonts w:ascii="Arial"/>
          <w:b/>
          <w:w w:val="105"/>
          <w:sz w:val="7"/>
        </w:rPr>
        <w:t>Survival functions(lung resection,LG)</w:t>
      </w:r>
    </w:p>
    <w:p>
      <w:pPr>
        <w:pStyle w:val="BodyText"/>
        <w:ind w:left="0"/>
        <w:rPr>
          <w:rFonts w:ascii="Arial"/>
          <w:b/>
          <w:sz w:val="8"/>
        </w:rPr>
      </w:pPr>
      <w:r>
        <w:rPr/>
        <w:br w:type="column"/>
      </w:r>
      <w:r>
        <w:rPr>
          <w:rFonts w:ascii="Arial"/>
          <w:b/>
          <w:sz w:val="8"/>
        </w:rPr>
      </w:r>
    </w:p>
    <w:p>
      <w:pPr>
        <w:pStyle w:val="BodyText"/>
        <w:spacing w:before="9"/>
        <w:ind w:left="0"/>
        <w:rPr>
          <w:rFonts w:ascii="Arial"/>
          <w:b/>
          <w:sz w:val="11"/>
        </w:rPr>
      </w:pPr>
    </w:p>
    <w:p>
      <w:pPr>
        <w:spacing w:before="0"/>
        <w:ind w:left="937" w:right="0" w:firstLine="0"/>
        <w:jc w:val="left"/>
        <w:rPr>
          <w:rFonts w:ascii="Arial"/>
          <w:b/>
          <w:sz w:val="7"/>
        </w:rPr>
      </w:pPr>
      <w:r>
        <w:rPr/>
        <w:pict>
          <v:shape style="position:absolute;margin-left:207.294296pt;margin-top:9.600629pt;width:5.5pt;height:6.2pt;mso-position-horizontal-relative:page;mso-position-vertical-relative:paragraph;z-index:2944"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1.0</w:t>
                  </w:r>
                </w:p>
              </w:txbxContent>
            </v:textbox>
            <w10:wrap type="none"/>
          </v:shape>
        </w:pict>
      </w:r>
      <w:r>
        <w:rPr>
          <w:rFonts w:ascii="Arial"/>
          <w:b/>
          <w:w w:val="105"/>
          <w:sz w:val="7"/>
        </w:rPr>
        <w:t>Survival functions(neuronspecific enolase,NSE)</w:t>
      </w:r>
    </w:p>
    <w:p>
      <w:pPr>
        <w:pStyle w:val="BodyText"/>
        <w:spacing w:before="6"/>
        <w:ind w:left="0"/>
        <w:rPr>
          <w:rFonts w:ascii="Arial"/>
          <w:b/>
          <w:sz w:val="11"/>
        </w:rPr>
      </w:pPr>
      <w:r>
        <w:rPr/>
        <w:br w:type="column"/>
      </w:r>
      <w:r>
        <w:rPr>
          <w:rFonts w:ascii="Arial"/>
          <w:b/>
          <w:sz w:val="11"/>
        </w:rPr>
      </w:r>
    </w:p>
    <w:p>
      <w:pPr>
        <w:spacing w:before="0"/>
        <w:ind w:left="766" w:right="0" w:firstLine="0"/>
        <w:jc w:val="left"/>
        <w:rPr>
          <w:rFonts w:ascii="Arial"/>
          <w:b/>
          <w:sz w:val="7"/>
        </w:rPr>
      </w:pPr>
      <w:r>
        <w:rPr/>
        <w:pict>
          <v:group style="position:absolute;margin-left:343.737274pt;margin-top:9.136187pt;width:101.75pt;height:96pt;mso-position-horizontal-relative:page;mso-position-vertical-relative:paragraph;z-index:1648" coordorigin="6875,183" coordsize="2035,1920">
            <v:shape style="position:absolute;left:1381;top:-7653;width:11158;height:10031" coordorigin="1382,-7652" coordsize="11158,10031" path="m6908,2068l8710,2068m6908,2068l6908,2103m7167,2068l7167,2103m7422,2068l7422,2103m7681,2068l7681,2103m7937,2068l7937,2103m8196,2068l8196,2103m8451,2068l8451,2103m8710,2068l8710,2103m6908,1995l6908,254m6908,1995l6875,1995m6908,1650l6875,1650m6908,1301l6875,1301m6908,952l6875,952m6908,603l6875,603m6908,254l6875,254m6908,2068l8907,2068,8907,185,6908,185,6908,2068e" filled="false" stroked="true" strokeweight=".186691pt" strokecolor="#000000">
              <v:path arrowok="t"/>
              <v:stroke dashstyle="solid"/>
            </v:shape>
            <v:shape style="position:absolute;left:6907;top:253;width:1814;height:1500" coordorigin="6908,254" coordsize="1814,1500" path="m6908,254l6915,254,6915,257,6919,257,6919,261,6919,265,6922,265,6929,265,6929,269,6933,269,6933,273,6933,277,6944,277,6944,280,6948,280,6948,284,6948,288,6951,288,6951,292,6951,296,6951,300,6955,300,6955,303,6959,303,6959,307,6959,311,6962,311,6962,315,6966,315,6966,319,6970,319,6970,323,6970,326,6973,326,6973,330,6973,338,6981,338,6981,342,6984,342,6984,346,6984,350,6984,353,6984,357,6992,357,6992,361,6992,365,6995,365,6995,373,7003,373,7003,376,7003,380,7003,384,7006,384,7006,388,7006,399,7006,407,7006,411,7010,411,7010,415,7010,419,7010,422,7010,426,7013,426,7013,430,7017,430,7017,434,7017,438,7017,442,7021,442,7021,445,7024,445,7024,449,7024,453,7028,453,7028,457,7032,457,7032,461,7032,472,7035,472,7035,476,7035,488,7039,488,7039,491,7039,499,7046,499,7046,503,7046,507,7050,507,7050,511,7050,514,7050,518,7050,522,7050,526,7054,526,7054,530,7057,530,7057,534,7061,534,7061,541,7061,545,7061,549,7065,549,7065,553,7065,557,7075,557,7075,561,7075,564,7075,568,7079,568,7079,572,7079,576,7079,580,7083,580,7083,584,7086,584,7086,591,7086,595,7086,603,7090,603,7090,607,7090,610,7094,610,7094,614,7094,618,7097,618,7097,622,7097,626,7097,641,7105,641,7105,645,7108,645,7108,649,7108,653,7108,656,7116,656,7116,664,7116,668,7119,668,7119,672,7119,676,7119,679,7123,679,7123,683,7127,683,7127,691,7127,695,7130,695,7130,699,7130,702,7130,706,7134,706,7134,710,7134,714,7134,718,7134,722,7138,722,7138,726,7138,729,7141,729,7141,733,7141,737,7141,741,7145,741,7145,745,7152,745,7152,748,7152,752,7156,752,7156,756,7156,764,7163,764,7163,768,7163,772,7163,775,7167,775,7167,779,7170,779,7170,783,7174,783,7174,787,7174,791,7178,791,7178,795,7178,798,7181,798,7181,802,7181,806,7185,806,7185,810,7185,818,7189,818,7189,821,7189,825,7189,829,7192,829,7192,833,7192,837,7192,841,7196,841,7196,844,7196,848,7200,848,7200,852,7203,852,7203,856,7203,860,7210,860,7210,864,7210,867,7210,871,7214,871,7214,875,7218,875,7218,879,7221,879,7221,883,7225,883,7225,887,7229,887,7229,890,7229,894,7232,894,7232,898,7232,906,7236,906,7236,910,7236,913,7240,913,7240,917,7247,917,7247,921,7251,921,7251,929,7251,933,7251,936,7254,936,7254,940,7265,940,7265,944,7265,948,7265,952,7269,952,7269,956,7269,960,7272,960,7272,963,7276,963,7276,967,7276,971,7280,971,7280,975,7283,975,7283,979,7283,983,7287,983,7287,986,7287,990,7291,990,7291,998,7291,1002,7294,1002,7294,1005,7302,1005,7302,1009,7309,1009,7309,1013,7309,1017,7316,1017,7316,1021,7316,1025,7316,1032,7320,1032,7320,1036,7331,1036,7331,1040,7335,1040,7335,1044,7335,1044,7335,1048,7335,1052,7335,1059,7338,1059,7338,1063,7342,1063,7342,1067,7342,1075,7346,1075,7346,1078,7349,1078,7349,1082,7353,1082,7353,1086,7356,1086,7356,1090,7360,1090,7360,1094,7367,1094,7367,1098,7371,1098,7371,1105,7378,1105,7378,1113,7378,1121,7382,1121,7382,1124,7389,1124,7389,1128,7389,1132,7393,1132,7393,1136,7393,1140,7397,1140,7397,1144,7404,1144,7404,1147,7411,1147,7411,1155,7418,1155,7418,1159,7422,1159,7422,1163,7426,1163,7426,1167,7426,1170,7440,1170,7440,1174,7444,1174,7444,1178,7459,1178,7459,1182,7466,1182,7466,1186,7470,1186,7470,1197,7481,1197,7481,1205,7484,1205,7484,1209,7495,1209,7495,1213,7499,1213,7499,1217,7502,1217,7502,1220,7502,1228,7510,1228,7510,1232,7513,1232,7513,1236,7524,1236,7524,1239,7528,1239,7528,1247,7535,1247,7535,1251,7546,1251,7546,1255,7550,1255,7550,1263,7568,1263,7568,1266,7568,1270,7572,1270,7572,1274,7575,1274,7575,1278,7579,1278,7579,1282,7594,1282,7594,1286,7608,1286,7608,1289,7619,1289,7619,1297,7626,1297,7626,1301,7641,1301,7641,1305,7641,1309,7667,1309,7667,1312,7670,1312,7670,1316,7670,1320,7696,1320,7696,1324,7699,1324,7699,1328,7718,1328,7718,1335,7725,1335,7725,1339,7736,1339,7736,1343,7740,1343,7740,1347,7743,1347,7743,1351,7751,1351,7751,1355,7783,1355,7783,1358,7802,1358,7802,1366,7805,1366,7805,1370,7827,1370,7827,1374,7948,1374,7948,1393,8287,1393,8287,1512,8572,1512,8572,1754,8721,1754e" filled="false" stroked="true" strokeweight=".187539pt" strokecolor="#ff0000">
              <v:path arrowok="t"/>
              <v:stroke dashstyle="solid"/>
            </v:shape>
            <v:shape style="position:absolute;left:6907;top:253;width:1923;height:1581" coordorigin="6908,254" coordsize="1923,1581" path="m6908,254l6919,254,6919,257,6922,257,6922,261,6926,261,6926,265,6937,265,6937,269,6944,269,6944,273,6948,273,6948,277,6955,277,6955,280,6955,284,6959,284,6959,288,6959,292,6962,292,6962,296,6966,296,6966,300,6973,300,6973,303,6973,307,6973,311,6977,311,6977,315,6977,319,6977,323,6981,323,6981,326,6981,330,6981,334,6984,334,6984,338,6984,342,6984,346,6988,346,6988,350,6988,353,6992,353,6992,357,6992,361,6995,361,6995,365,6995,369,6999,369,6999,373,6999,376,7003,376,7003,380,7003,384,7003,388,7006,388,7006,392,7006,396,7010,396,7010,399,7010,403,7013,403,7013,407,7013,411,7017,411,7017,419,7017,422,7024,422,7024,422,7024,430,7024,434,7024,438,7032,438,7032,442,7035,442,7035,445,7035,453,7035,457,7039,457,7039,465,7043,465,7043,468,7043,472,7043,476,7043,480,7046,480,7046,484,7046,488,7046,491,7050,491,7050,495,7050,499,7054,499,7054,503,7054,507,7054,511,7057,511,7057,518,7057,526,7057,530,7061,530,7061,534,7061,538,7065,538,7065,541,7068,541,7068,545,7068,549,7072,549,7072,553,7072,561,7075,561,7075,564,7075,568,7075,572,7079,572,7079,576,7083,576,7083,580,7083,584,7083,587,7086,587,7086,591,7086,595,7090,595,7090,607,7090,610,7094,610,7094,614,7097,614,7097,622,7097,626,7097,630,7097,633,7101,633,7101,637,7101,641,7105,641,7105,649,7108,649,7108,653,7112,653,7112,656,7112,656,7112,660,7112,664,7112,668,7112,672,7116,672,7116,676,7116,679,7116,683,7119,683,7119,687,7119,691,7119,695,7127,695,7127,699,7134,699,7134,702,7134,706,7134,710,7138,710,7138,714,7138,718,7138,722,7141,722,7141,726,7141,729,7145,729,7145,733,7148,733,7148,737,7148,741,7152,741,7152,745,7156,745,7156,748,7156,752,7159,752,7159,756,7159,760,7163,760,7163,764,7163,768,7167,768,7170,768,7170,775,7170,779,7174,779,7174,783,7174,787,7174,791,7174,795,7174,802,7178,802,7178,806,7178,810,7181,810,7181,814,7185,814,7185,818,7185,821,7189,821,7189,825,7192,825,7192,829,7192,833,7196,833,7196,837,7200,837,7200,841,7200,844,7203,844,7203,848,7203,852,7203,856,7207,856,7207,860,7214,860,7214,864,7218,864,7218,867,7218,871,7221,871,7221,879,7221,883,7221,887,7221,890,7221,894,7225,894,7225,898,7229,898,7229,906,7229,910,7229,913,7243,913,7243,921,7251,921,7251,925,7254,925,7254,929,7254,933,7254,936,7258,936,7258,944,7258,948,7262,948,7262,952,7262,956,7265,956,7265,960,7265,963,7269,963,7269,967,7269,971,7272,971,7272,979,7272,983,7276,983,7276,986,7276,990,7280,990,7280,994,7287,994,7287,998,7287,1002,7287,1005,7291,1005,7291,1013,7291,1017,7291,1025,7294,1025,7294,1029,7294,1032,7294,1036,7298,1036,7298,1044,7298,1048,7302,1048,7302,1052,7302,1055,7305,1055,7305,1063,7305,1067,7309,1067,7309,1075,7313,1075,7313,1078,7313,1082,7316,1082,7316,1086,7316,1090,7320,1090,7320,1094,7327,1094,7327,1101,7331,1101,7331,1105,7335,1105,7335,1109,7338,1109,7338,1117,7338,1121,7346,1121,7346,1124,7349,1124,7349,1128,7353,1128,7353,1136,7356,1136,7356,1140,7364,1140,7364,1144,7364,1151,7367,1151,7367,1155,7375,1155,7375,1159,7378,1159,7378,1163,7382,1163,7382,1167,7386,1167,7386,1174,7393,1174,7393,1178,7393,1182,7397,1182,7397,1190,7397,1193,7400,1193,7400,1197,7408,1197,7408,1201,7408,1205,7415,1205,7415,1209,7418,1209,7418,1213,7429,1213,7429,1217,7433,1217,7433,1220,7437,1220,7437,1228,7437,1232,7440,1232,7440,1236,7444,1236,7444,1239,7448,1239,7448,1243,7448,1247,7448,1251,7459,1251,7459,1255,7459,1259,7462,1259,7462,1263,7470,1263,7470,1266,7470,1274,7473,1274,7473,1278,7477,1278,7477,1282,7477,1286,7481,1286,7481,1289,7484,1289,7484,1293,7488,1293,7488,1297,7488,1301,7491,1301,7491,1305,7499,1305,7499,1309,7499,1316,7510,1316,7510,1320,7513,1320,7513,1324,7517,1324,7517,1328,7521,1328,7521,1332,7524,1332,7524,1335,7524,1339,7528,1339,7528,1343,7528,1351,7539,1351,7539,1355,7546,1355,7546,1358,7553,1358,7553,1362,7561,1362,7561,1366,7561,1370,7568,1370,7568,1374,7586,1374,7586,1382,7586,1385,7586,1389,7597,1389,7597,1393,7601,1393,7601,1397,7605,1397,7605,1401,7608,1401,7608,1404,7612,1404,7612,1412,7612,1416,7619,1416,7619,1420,7630,1420,7630,1424,7637,1424,7637,1427,7637,1431,7645,1431,7645,1435,7645,1443,7648,1443,7648,1447,7652,1447,7652,1451,7659,1451,7659,1454,7659,1458,7663,1458,7663,1462,7670,1462,7670,1470,7678,1470,7678,1474,7721,1474,7721,1477,7729,1477,7729,1481,7729,1485,7740,1485,7740,1489,7769,1489,7769,1497,7769,1500,7794,1500,7794,1504,7794,1508,7805,1508,7805,1512,7816,1512,7816,1516,7820,1516,7820,1527,7900,1527,7900,1539,7929,1539,7929,1554,7951,1554,7951,1566,7969,1566,7969,1585,8031,1585,8031,1604,8152,1604,8152,1669,8323,1669,8323,1754,8378,1754,8378,1834,8831,1834e" filled="false" stroked="true" strokeweight=".187567pt" strokecolor="#0000ff">
              <v:path arrowok="t"/>
              <v:stroke dashstyle="solid"/>
            </v:shape>
            <v:line style="position:absolute" from="8400,330" to="8506,330" stroked="true" strokeweight=".191216pt" strokecolor="#ff0000">
              <v:stroke dashstyle="solid"/>
            </v:line>
            <v:line style="position:absolute" from="8400,403" to="8506,403" stroked="true" strokeweight=".191216pt" strokecolor="#0000ff">
              <v:stroke dashstyle="solid"/>
            </v:line>
            <v:shape style="position:absolute;left:8348;top:253;width:489;height:223" type="#_x0000_t202" filled="false" stroked="true" strokeweight=".189783pt" strokecolor="#000000">
              <v:textbox inset="0,0,0,0">
                <w:txbxContent>
                  <w:p>
                    <w:pPr>
                      <w:spacing w:line="254" w:lineRule="auto" w:before="45"/>
                      <w:ind w:left="209" w:right="-4" w:firstLine="0"/>
                      <w:jc w:val="left"/>
                      <w:rPr>
                        <w:rFonts w:ascii="Arial"/>
                        <w:sz w:val="6"/>
                      </w:rPr>
                    </w:pPr>
                    <w:r>
                      <w:rPr>
                        <w:rFonts w:ascii="Arial"/>
                        <w:sz w:val="6"/>
                      </w:rPr>
                      <w:t>normal increased</w:t>
                    </w:r>
                  </w:p>
                </w:txbxContent>
              </v:textbox>
              <v:stroke dashstyle="solid"/>
              <w10:wrap type="none"/>
            </v:shape>
            <w10:wrap type="none"/>
          </v:group>
        </w:pict>
      </w:r>
      <w:r>
        <w:rPr/>
        <w:pict>
          <v:shape style="position:absolute;margin-left:337.726624pt;margin-top:9.600629pt;width:5.3pt;height:6.2pt;mso-position-horizontal-relative:page;mso-position-vertical-relative:paragraph;z-index:3616"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1.0</w:t>
                  </w:r>
                </w:p>
              </w:txbxContent>
            </v:textbox>
            <w10:wrap type="none"/>
          </v:shape>
        </w:pict>
      </w:r>
      <w:r>
        <w:rPr>
          <w:rFonts w:ascii="Arial"/>
          <w:b/>
          <w:sz w:val="7"/>
        </w:rPr>
        <w:t>Survival functions(carcino-embryonic antigen,CEA)</w:t>
      </w:r>
    </w:p>
    <w:p>
      <w:pPr>
        <w:spacing w:after="0"/>
        <w:jc w:val="left"/>
        <w:rPr>
          <w:rFonts w:ascii="Arial"/>
          <w:sz w:val="7"/>
        </w:rPr>
        <w:sectPr>
          <w:type w:val="continuous"/>
          <w:pgSz w:w="11910" w:h="16850"/>
          <w:pgMar w:top="1080" w:bottom="1020" w:left="1060" w:right="0"/>
          <w:cols w:num="3" w:equalWidth="0">
            <w:col w:w="2304" w:space="217"/>
            <w:col w:w="2656" w:space="39"/>
            <w:col w:w="5634"/>
          </w:cols>
        </w:sect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spacing w:before="5"/>
        <w:ind w:left="0"/>
        <w:rPr>
          <w:rFonts w:ascii="Arial"/>
          <w:b/>
          <w:sz w:val="21"/>
        </w:rPr>
      </w:pPr>
    </w:p>
    <w:p>
      <w:pPr>
        <w:spacing w:after="0"/>
        <w:rPr>
          <w:rFonts w:ascii="Arial"/>
          <w:sz w:val="21"/>
        </w:rPr>
        <w:sectPr>
          <w:type w:val="continuous"/>
          <w:pgSz w:w="11910" w:h="16850"/>
          <w:pgMar w:top="1080" w:bottom="1020" w:left="1060" w:right="0"/>
        </w:sectPr>
      </w:pPr>
    </w:p>
    <w:p>
      <w:pPr>
        <w:pStyle w:val="BodyText"/>
        <w:ind w:left="0"/>
        <w:rPr>
          <w:rFonts w:ascii="Arial"/>
          <w:b/>
          <w:sz w:val="6"/>
        </w:rPr>
      </w:pPr>
    </w:p>
    <w:p>
      <w:pPr>
        <w:pStyle w:val="BodyText"/>
        <w:ind w:left="0"/>
        <w:rPr>
          <w:rFonts w:ascii="Arial"/>
          <w:b/>
          <w:sz w:val="6"/>
        </w:rPr>
      </w:pPr>
    </w:p>
    <w:p>
      <w:pPr>
        <w:pStyle w:val="BodyText"/>
        <w:spacing w:before="9"/>
        <w:ind w:left="0"/>
        <w:rPr>
          <w:rFonts w:ascii="Arial"/>
          <w:b/>
          <w:sz w:val="6"/>
        </w:rPr>
      </w:pPr>
    </w:p>
    <w:p>
      <w:pPr>
        <w:tabs>
          <w:tab w:pos="728" w:val="left" w:leader="none"/>
        </w:tabs>
        <w:spacing w:before="1"/>
        <w:ind w:left="490" w:right="0" w:firstLine="0"/>
        <w:jc w:val="center"/>
        <w:rPr>
          <w:rFonts w:ascii="Arial"/>
          <w:sz w:val="6"/>
        </w:rPr>
      </w:pPr>
      <w:r>
        <w:rPr>
          <w:rFonts w:ascii="Arial"/>
          <w:sz w:val="6"/>
        </w:rPr>
        <w:t>0</w:t>
        <w:tab/>
        <w:t>500 1000 1500 2000 2500 3000</w:t>
      </w:r>
      <w:r>
        <w:rPr>
          <w:rFonts w:ascii="Arial"/>
          <w:spacing w:val="14"/>
          <w:sz w:val="6"/>
        </w:rPr>
        <w:t> </w:t>
      </w:r>
      <w:r>
        <w:rPr>
          <w:rFonts w:ascii="Arial"/>
          <w:sz w:val="6"/>
        </w:rPr>
        <w:t>3500</w:t>
      </w:r>
    </w:p>
    <w:p>
      <w:pPr>
        <w:pStyle w:val="BodyText"/>
        <w:ind w:left="0"/>
        <w:rPr>
          <w:rFonts w:ascii="Arial"/>
          <w:sz w:val="7"/>
        </w:rPr>
      </w:pPr>
    </w:p>
    <w:p>
      <w:pPr>
        <w:spacing w:before="0"/>
        <w:ind w:left="649" w:right="0" w:firstLine="0"/>
        <w:jc w:val="center"/>
        <w:rPr>
          <w:rFonts w:ascii="Arial"/>
          <w:sz w:val="6"/>
        </w:rPr>
      </w:pPr>
      <w:r>
        <w:rPr>
          <w:rFonts w:ascii="Arial"/>
          <w:sz w:val="6"/>
        </w:rPr>
        <w:t>time(days)</w:t>
      </w:r>
    </w:p>
    <w:p>
      <w:pPr>
        <w:pStyle w:val="BodyText"/>
        <w:ind w:left="0"/>
        <w:rPr>
          <w:rFonts w:ascii="Arial"/>
          <w:sz w:val="6"/>
        </w:rPr>
      </w:pPr>
      <w:r>
        <w:rPr/>
        <w:br w:type="column"/>
      </w:r>
      <w:r>
        <w:rPr>
          <w:rFonts w:ascii="Arial"/>
          <w:sz w:val="6"/>
        </w:rPr>
      </w:r>
    </w:p>
    <w:p>
      <w:pPr>
        <w:pStyle w:val="BodyText"/>
        <w:ind w:left="0"/>
        <w:rPr>
          <w:rFonts w:ascii="Arial"/>
          <w:sz w:val="6"/>
        </w:rPr>
      </w:pPr>
    </w:p>
    <w:p>
      <w:pPr>
        <w:pStyle w:val="BodyText"/>
        <w:spacing w:before="10"/>
        <w:ind w:left="0"/>
        <w:rPr>
          <w:rFonts w:ascii="Arial"/>
          <w:sz w:val="4"/>
        </w:rPr>
      </w:pPr>
    </w:p>
    <w:p>
      <w:pPr>
        <w:tabs>
          <w:tab w:pos="772" w:val="left" w:leader="none"/>
        </w:tabs>
        <w:spacing w:before="0"/>
        <w:ind w:left="530" w:right="0" w:firstLine="0"/>
        <w:jc w:val="center"/>
        <w:rPr>
          <w:rFonts w:ascii="Arial"/>
          <w:sz w:val="6"/>
        </w:rPr>
      </w:pPr>
      <w:r>
        <w:rPr/>
        <w:pict>
          <v:shape style="position:absolute;margin-left:72.282051pt;margin-top:-9.563514pt;width:5.45pt;height:6.25pt;mso-position-horizontal-relative:page;mso-position-vertical-relative:paragraph;z-index:188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0.0</w:t>
                  </w:r>
                </w:p>
              </w:txbxContent>
            </v:textbox>
            <w10:wrap type="none"/>
          </v:shape>
        </w:pict>
      </w:r>
      <w:r>
        <w:rPr/>
        <w:pict>
          <v:shape style="position:absolute;margin-left:207.294296pt;margin-top:-10.626687pt;width:5.5pt;height:6.2pt;mso-position-horizontal-relative:page;mso-position-vertical-relative:paragraph;z-index:2824"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0.0</w:t>
                  </w:r>
                </w:p>
              </w:txbxContent>
            </v:textbox>
            <w10:wrap type="none"/>
          </v:shape>
        </w:pict>
      </w:r>
      <w:r>
        <w:rPr>
          <w:rFonts w:ascii="Arial"/>
          <w:w w:val="105"/>
          <w:sz w:val="6"/>
        </w:rPr>
        <w:t>0</w:t>
        <w:tab/>
        <w:t>500 1000 1500 2000 2500 3000</w:t>
      </w:r>
      <w:r>
        <w:rPr>
          <w:rFonts w:ascii="Arial"/>
          <w:spacing w:val="7"/>
          <w:w w:val="105"/>
          <w:sz w:val="6"/>
        </w:rPr>
        <w:t> </w:t>
      </w:r>
      <w:r>
        <w:rPr>
          <w:rFonts w:ascii="Arial"/>
          <w:w w:val="105"/>
          <w:sz w:val="6"/>
        </w:rPr>
        <w:t>3500</w:t>
      </w:r>
    </w:p>
    <w:p>
      <w:pPr>
        <w:pStyle w:val="BodyText"/>
        <w:ind w:left="0"/>
        <w:rPr>
          <w:rFonts w:ascii="Arial"/>
          <w:sz w:val="7"/>
        </w:rPr>
      </w:pPr>
    </w:p>
    <w:p>
      <w:pPr>
        <w:spacing w:before="1"/>
        <w:ind w:left="691" w:right="0" w:firstLine="0"/>
        <w:jc w:val="center"/>
        <w:rPr>
          <w:rFonts w:ascii="Arial"/>
          <w:sz w:val="6"/>
        </w:rPr>
      </w:pPr>
      <w:r>
        <w:rPr>
          <w:rFonts w:ascii="Arial"/>
          <w:w w:val="105"/>
          <w:sz w:val="6"/>
        </w:rPr>
        <w:t>time(days)</w:t>
      </w:r>
    </w:p>
    <w:p>
      <w:pPr>
        <w:pStyle w:val="BodyText"/>
        <w:spacing w:before="7"/>
        <w:ind w:left="0"/>
        <w:rPr>
          <w:rFonts w:ascii="Arial"/>
          <w:sz w:val="8"/>
        </w:rPr>
      </w:pPr>
      <w:r>
        <w:rPr/>
        <w:br w:type="column"/>
      </w:r>
      <w:r>
        <w:rPr>
          <w:rFonts w:ascii="Arial"/>
          <w:sz w:val="8"/>
        </w:rPr>
      </w:r>
    </w:p>
    <w:p>
      <w:pPr>
        <w:spacing w:before="0"/>
        <w:ind w:left="929" w:right="3526" w:firstLine="0"/>
        <w:jc w:val="center"/>
        <w:rPr>
          <w:rFonts w:ascii="Arial"/>
          <w:sz w:val="6"/>
        </w:rPr>
      </w:pPr>
      <w:r>
        <w:rPr/>
        <w:pict>
          <v:shape style="position:absolute;margin-left:64.975136pt;margin-top:-55.34848pt;width:5.45pt;height:19.8pt;mso-position-horizontal-relative:page;mso-position-vertical-relative:paragraph;z-index:169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Cum survival</w:t>
                  </w:r>
                </w:p>
              </w:txbxContent>
            </v:textbox>
            <w10:wrap type="none"/>
          </v:shape>
        </w:pict>
      </w:r>
      <w:r>
        <w:rPr/>
        <w:pict>
          <v:shape style="position:absolute;margin-left:72.282051pt;margin-top:-22.135942pt;width:5.45pt;height:6.25pt;mso-position-horizontal-relative:page;mso-position-vertical-relative:paragraph;z-index:1912"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0.2</w:t>
                  </w:r>
                </w:p>
              </w:txbxContent>
            </v:textbox>
            <w10:wrap type="none"/>
          </v:shape>
        </w:pict>
      </w:r>
      <w:r>
        <w:rPr/>
        <w:pict>
          <v:shape style="position:absolute;margin-left:72.282051pt;margin-top:-39.654102pt;width:5.45pt;height:6.25pt;mso-position-horizontal-relative:page;mso-position-vertical-relative:paragraph;z-index:193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0.4</w:t>
                  </w:r>
                </w:p>
              </w:txbxContent>
            </v:textbox>
            <w10:wrap type="none"/>
          </v:shape>
        </w:pict>
      </w:r>
      <w:r>
        <w:rPr/>
        <w:pict>
          <v:shape style="position:absolute;margin-left:199.884628pt;margin-top:-56.232574pt;width:5.5pt;height:19.75pt;mso-position-horizontal-relative:page;mso-position-vertical-relative:paragraph;z-index:2656"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Cum survival</w:t>
                  </w:r>
                </w:p>
              </w:txbxContent>
            </v:textbox>
            <w10:wrap type="none"/>
          </v:shape>
        </w:pict>
      </w:r>
      <w:r>
        <w:rPr/>
        <w:pict>
          <v:shape style="position:absolute;margin-left:207.294296pt;margin-top:-23.13773pt;width:5.5pt;height:6.2pt;mso-position-horizontal-relative:page;mso-position-vertical-relative:paragraph;z-index:2848"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0.2</w:t>
                  </w:r>
                </w:p>
              </w:txbxContent>
            </v:textbox>
            <w10:wrap type="none"/>
          </v:shape>
        </w:pict>
      </w:r>
      <w:r>
        <w:rPr/>
        <w:pict>
          <v:shape style="position:absolute;margin-left:207.294296pt;margin-top:-40.593811pt;width:5.5pt;height:6.2pt;mso-position-horizontal-relative:page;mso-position-vertical-relative:paragraph;z-index:2872" type="#_x0000_t202" filled="false" stroked="false">
            <v:textbox inset="0,0,0,0" style="layout-flow:vertical;mso-layout-flow-alt:bottom-to-top">
              <w:txbxContent>
                <w:p>
                  <w:pPr>
                    <w:spacing w:before="20"/>
                    <w:ind w:left="20" w:right="0" w:firstLine="0"/>
                    <w:jc w:val="left"/>
                    <w:rPr>
                      <w:rFonts w:ascii="Arial"/>
                      <w:sz w:val="6"/>
                    </w:rPr>
                  </w:pPr>
                  <w:r>
                    <w:rPr>
                      <w:rFonts w:ascii="Arial"/>
                      <w:sz w:val="6"/>
                    </w:rPr>
                    <w:t>0.4</w:t>
                  </w:r>
                </w:p>
              </w:txbxContent>
            </v:textbox>
            <w10:wrap type="none"/>
          </v:shape>
        </w:pict>
      </w:r>
      <w:r>
        <w:rPr/>
        <w:pict>
          <v:shape style="position:absolute;margin-left:337.726624pt;margin-top:-10.626687pt;width:5.3pt;height:6.2pt;mso-position-horizontal-relative:page;mso-position-vertical-relative:paragraph;z-index:3496"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0.0</w:t>
                  </w:r>
                </w:p>
              </w:txbxContent>
            </v:textbox>
            <w10:wrap type="none"/>
          </v:shape>
        </w:pict>
      </w:r>
      <w:r>
        <w:rPr/>
        <w:pict>
          <v:shape style="position:absolute;margin-left:337.726624pt;margin-top:-27.88773pt;width:5.3pt;height:6.2pt;mso-position-horizontal-relative:page;mso-position-vertical-relative:paragraph;z-index:3520"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0.2</w:t>
                  </w:r>
                </w:p>
              </w:txbxContent>
            </v:textbox>
            <w10:wrap type="none"/>
          </v:shape>
        </w:pict>
      </w:r>
      <w:r>
        <w:rPr/>
        <w:pict>
          <v:shape style="position:absolute;margin-left:337.726624pt;margin-top:-45.343811pt;width:5.3pt;height:6.2pt;mso-position-horizontal-relative:page;mso-position-vertical-relative:paragraph;z-index:3544" type="#_x0000_t202" filled="false" stroked="false">
            <v:textbox inset="0,0,0,0" style="layout-flow:vertical;mso-layout-flow-alt:bottom-to-top">
              <w:txbxContent>
                <w:p>
                  <w:pPr>
                    <w:spacing w:before="16"/>
                    <w:ind w:left="20" w:right="0" w:firstLine="0"/>
                    <w:jc w:val="left"/>
                    <w:rPr>
                      <w:rFonts w:ascii="Arial"/>
                      <w:sz w:val="6"/>
                    </w:rPr>
                  </w:pPr>
                  <w:r>
                    <w:rPr>
                      <w:rFonts w:ascii="Arial"/>
                      <w:sz w:val="6"/>
                    </w:rPr>
                    <w:t>0.4</w:t>
                  </w:r>
                </w:p>
              </w:txbxContent>
            </v:textbox>
            <w10:wrap type="none"/>
          </v:shape>
        </w:pict>
      </w:r>
      <w:r>
        <w:rPr>
          <w:rFonts w:ascii="Arial"/>
          <w:sz w:val="6"/>
        </w:rPr>
        <w:t>0 500 1000 1500 2000 2500 3000 3500</w:t>
      </w:r>
    </w:p>
    <w:p>
      <w:pPr>
        <w:pStyle w:val="BodyText"/>
        <w:ind w:left="0"/>
        <w:rPr>
          <w:rFonts w:ascii="Arial"/>
          <w:sz w:val="7"/>
        </w:rPr>
      </w:pPr>
    </w:p>
    <w:p>
      <w:pPr>
        <w:spacing w:before="1"/>
        <w:ind w:left="929" w:right="3376" w:firstLine="0"/>
        <w:jc w:val="center"/>
        <w:rPr>
          <w:rFonts w:ascii="Arial"/>
          <w:sz w:val="6"/>
        </w:rPr>
      </w:pPr>
      <w:r>
        <w:rPr/>
        <w:pict>
          <v:group style="position:absolute;margin-left:213.647324pt;margin-top:-100.85199pt;width:108.7pt;height:96pt;mso-position-horizontal-relative:page;mso-position-vertical-relative:paragraph;z-index:1600" coordorigin="4273,-2017" coordsize="2174,1920">
            <v:shape style="position:absolute;left:1381;top:-9947;width:11158;height:10031" coordorigin="1382,-9947" coordsize="11158,10031" path="m4308,-132l6234,-132m4308,-132l4308,-97m4585,-132l4585,-97m4858,-132l4858,-97m5134,-132l5134,-97m5407,-132l5407,-97m5684,-132l5684,-97m5957,-132l5957,-97m6234,-132l6234,-97m4308,-204l4308,-1946m4308,-204l4273,-204m4308,-550l4273,-550m4308,-899l4273,-899m4308,-1248l4273,-1248m4308,-1597l4273,-1597m4308,-1946l4273,-1946m4308,-132l6444,-132,6444,-2015,4308,-2015,4308,-132e" filled="false" stroked="true" strokeweight=".192914pt" strokecolor="#000000">
              <v:path arrowok="t"/>
              <v:stroke dashstyle="solid"/>
            </v:shape>
            <v:shape style="position:absolute;left:4308;top:-1947;width:2055;height:1458" coordorigin="4308,-1946" coordsize="2055,1458" path="m4308,-1946l4320,-1946,4320,-1942,4320,-1938,4328,-1938,4331,-1938,4331,-1935,4335,-1935,4339,-1935,4339,-1931,4347,-1931,4347,-1927,4351,-1927,4351,-1923,4351,-1919,4355,-1919,4355,-1915,4359,-1915,4359,-1912,4363,-1912,4363,-1908,4367,-1908,4367,-1904,4370,-1904,4374,-1904,4374,-1900,4374,-1896,4378,-1896,4378,-1892,4378,-1889,4378,-1885,4382,-1885,4382,-1881,4382,-1877,4386,-1877,4386,-1873,4390,-1873,4390,-1869,4390,-1862,4390,-1858,4394,-1858,4398,-1858,4398,-1854,4398,-1850,4398,-1846,4402,-1846,4402,-1842,4406,-1842,4409,-1842,4409,-1839,4409,-1839,4409,-1835,4409,-1831,4413,-1831,4413,-1827,4413,-1819,4413,-1816,4417,-1816,4417,-1812,4417,-1808,4421,-1808,4421,-1804,4425,-1804,4425,-1800,4425,-1797,4425,-1793,4429,-1793,4429,-1789,4433,-1789,4433,-1785,4433,-1781,4437,-1781,4437,-1777,4441,-1777,4441,-1770,4444,-1770,4444,-1766,4444,-1762,4444,-1758,4444,-1754,4448,-1754,4448,-1750,4448,-1743,4452,-1743,4452,-1739,4456,-1739,4456,-1735,4456,-1731,4460,-1731,4460,-1724,4460,-1720,4460,-1716,4460,-1712,4464,-1712,4464,-1704,4468,-1704,4468,-1701,4468,-1697,4468,-1693,4472,-1693,4472,-1693,4472,-1689,4472,-1685,4472,-1681,4476,-1681,4476,-1674,4484,-1674,4484,-1670,4487,-1670,4487,-1666,4487,-1662,4487,-1658,4487,-1655,4491,-1655,4491,-1651,4491,-1647,4495,-1647,4495,-1643,4499,-1643,4499,-1635,4499,-1632,4499,-1628,4503,-1628,4503,-1620,4503,-1616,4507,-1616,4507,-1612,4511,-1612,4511,-1605,4511,-1601,4511,-1589,4515,-1589,4515,-1585,4519,-1585,4519,-1582,4519,-1578,4522,-1578,4522,-1570,4522,-1566,4526,-1566,4526,-1563,4526,-1559,4530,-1559,4530,-1555,4530,-1551,4534,-1551,4534,-1547,4534,-1543,4534,-1539,4538,-1539,4538,-1536,4542,-1536,4542,-1528,4546,-1528,4546,-1524,4546,-1520,4550,-1520,4550,-1516,4550,-1509,4554,-1509,4554,-1505,4554,-1501,4554,-1497,4558,-1497,4558,-1493,4558,-1490,4558,-1486,4561,-1486,4561,-1482,4565,-1482,4565,-1478,4569,-1478,4569,-1474,4573,-1474,4573,-1470,4573,-1463,4577,-1463,4581,-1463,4581,-1459,4581,-1455,4585,-1455,4589,-1455,4589,-1451,4589,-1447,4593,-1447,4593,-1447,4593,-1444,4593,-1440,4593,-1432,4597,-1432,4597,-1428,4597,-1424,4600,-1424,4600,-1421,4600,-1417,4604,-1417,4604,-1413,4604,-1409,4604,-1401,4608,-1401,4608,-1398,4608,-1394,4612,-1394,4612,-1390,4612,-1386,4616,-1386,4616,-1382,4616,-1378,4620,-1378,4620,-1375,4620,-1371,4624,-1371,4624,-1367,4624,-1363,4632,-1363,4632,-1359,4632,-1355,4635,-1355,4635,-1351,4639,-1351,4639,-1348,4643,-1348,4643,-1344,4643,-1340,4643,-1336,4643,-1332,4647,-1332,4651,-1332,4651,-1328,4651,-1325,4651,-1321,4655,-1321,4659,-1321,4659,-1317,4659,-1313,4663,-1313,4667,-1313,4667,-1309,4671,-1309,4671,-1305,4675,-1305,4675,-1305,4675,-1298,4675,-1294,4678,-1294,4678,-1290,4682,-1290,4682,-1286,4686,-1286,4686,-1282,4690,-1282,4690,-1279,4690,-1275,4690,-1271,4694,-1271,4694,-1267,4694,-1263,4698,-1263,4698,-1259,4698,-1256,4702,-1256,4702,-1252,4702,-1248,4706,-1248,4706,-1244,4710,-1244,4710,-1240,4710,-1236,4714,-1236,4714,-1233,4714,-1229,4717,-1229,4717,-1225,4717,-1221,4717,-1217,4717,-1213,4721,-1213,4721,-1210,4725,-1210,4725,-1206,4729,-1206,4729,-1202,4729,-1198,4733,-1198,4733,-1190,4737,-1190,4737,-1187,4737,-1183,4741,-1183,4741,-1179,4745,-1179,4745,-1175,4745,-1171,4745,-1167,4749,-1167,4749,-1163,4756,-1163,4760,-1163,4760,-1160,4764,-1160,4764,-1156,4764,-1152,4764,-1148,4768,-1148,4768,-1144,4772,-1144,4772,-1137,4776,-1137,4776,-1133,4780,-1133,4780,-1129,4784,-1129,4784,-1125,4788,-1125,4788,-1121,4788,-1117,4791,-1117,4791,-1114,4795,-1114,4799,-1114,4799,-1110,4803,-1110,4803,-1106,4807,-1106,4811,-1106,4811,-1102,4811,-1094,4815,-1094,4815,-1091,4819,-1091,4819,-1087,4823,-1087,4823,-1083,4827,-1083,4827,-1079,4827,-1075,4827,-1071,4830,-1071,4830,-1064,4834,-1064,4834,-1060,4838,-1060,4838,-1056,4842,-1056,4842,-1052,4846,-1052,4846,-1048,4850,-1048,4850,-1045,4854,-1045,4854,-1041,4858,-1041,4858,-1037,4862,-1037,4862,-1033,4866,-1033,4866,-1029,4873,-1029,4873,-1025,4877,-1025,4877,-1022,4877,-1018,4881,-1018,4881,-1014,4885,-1014,4885,-1010,4885,-1006,4897,-1006,4897,-1002,4897,-998,4901,-998,4901,-995,4905,-995,4905,-991,4908,-991,4908,-987,4908,-983,4916,-983,4916,-979,4920,-979,4920,-972,4924,-972,4924,-968,4924,-964,4932,-964,4932,-960,4936,-960,4940,-960,4940,-953,4940,-949,4943,-949,4951,-949,4951,-945,4951,-941,4955,-941,4955,-937,4959,-937,4963,-937,4963,-933,4967,-933,4967,-929,4967,-926,4971,-926,4971,-918,4971,-914,4979,-914,4982,-914,4982,-910,4990,-910,4990,-906,4998,-906,4998,-903,5006,-903,5014,-903,5014,-899,5014,-891,5018,-891,5021,-891,5021,-887,5025,-887,5025,-883,5041,-883,5041,-880,5045,-880,5049,-880,5049,-876,5053,-876,5053,-872,5057,-872,5057,-868,5060,-868,5060,-864,5068,-864,5068,-857,5076,-857,5088,-857,5088,-853,5092,-853,5092,-849,5092,-845,5096,-845,5099,-845,5099,-841,5103,-841,5103,-837,5111,-837,5111,-834,5115,-834,5115,-830,5119,-830,5119,-826,5123,-826,5123,-822,5123,-818,5131,-818,5131,-814,5150,-814,5150,-811,5154,-811,5173,-811,5173,-807,5177,-807,5177,-803,5185,-803,5185,-799,5193,-799,5197,-799,5197,-795,5201,-795,5201,-791,5209,-791,5209,-788,5228,-788,5228,-784,5244,-784,5244,-780,5255,-780,5255,-776,5263,-776,5263,-772,5267,-772,5267,-765,5283,-765,5283,-761,5290,-761,5400,-761,5400,-749,5419,-749,5419,-738,5423,-738,5423,-726,5442,-726,5442,-715,5782,-715,5782,-630,6086,-630,6086,-488,6362,-488e" filled="false" stroked="true" strokeweight=".192353pt" strokecolor="#ff0000">
              <v:path arrowok="t"/>
              <v:stroke dashstyle="solid"/>
            </v:shape>
            <v:shape style="position:absolute;left:4308;top:-1947;width:1610;height:1627" coordorigin="4308,-1946" coordsize="1610,1627" path="m4308,-1946l4316,-1946,4316,-1938,4324,-1938,4324,-1935,4324,-1927,4328,-1927,4328,-1923,4335,-1923,4335,-1915,4351,-1915,4351,-1912,4355,-1912,4355,-1904,4359,-1904,4359,-1892,4359,-1885,4363,-1885,4363,-1881,4363,-1873,4367,-1873,4367,-1866,4370,-1866,4370,-1862,4378,-1862,4378,-1854,4378,-1846,4382,-1846,4382,-1842,4386,-1842,4386,-1835,4390,-1835,4390,-1827,4390,-1819,4390,-1816,4394,-1816,4394,-1808,4402,-1808,4402,-1800,4402,-1797,4402,-1789,4406,-1789,4406,-1781,4409,-1781,4409,-1773,4409,-1770,4413,-1770,4413,-1762,4413,-1754,4413,-1750,4413,-1743,4417,-1743,4417,-1727,4417,-1724,4417,-1716,4421,-1716,4421,-1708,4425,-1708,4425,-1701,4429,-1701,4429,-1697,4433,-1697,4433,-1689,4433,-1674,4441,-1674,4441,-1666,4444,-1666,4444,-1662,4444,-1655,4444,-1647,4448,-1647,4448,-1639,4452,-1639,4452,-1632,4452,-1628,4456,-1628,4456,-1612,4464,-1612,4464,-1605,4468,-1605,4468,-1597,4468,-1589,4472,-1589,4472,-1585,4476,-1585,4476,-1578,4480,-1578,4480,-1570,4480,-1563,4484,-1563,4484,-1555,4487,-1555,4487,-1547,4491,-1547,4491,-1539,4495,-1539,4495,-1536,4499,-1536,4499,-1528,4503,-1528,4503,-1520,4503,-1513,4507,-1513,4507,-1497,4511,-1497,4511,-1490,4515,-1490,4515,-1482,4526,-1482,4526,-1474,4526,-1470,4526,-1463,4530,-1463,4530,-1455,4530,-1447,4534,-1447,4534,-1440,4534,-1432,4550,-1432,4550,-1424,4550,-1417,4554,-1417,4554,-1409,4558,-1409,4558,-1401,4565,-1401,4565,-1394,4569,-1394,4569,-1386,4573,-1386,4573,-1378,4577,-1378,4577,-1371,4581,-1371,4581,-1363,4581,-1355,4581,-1348,4585,-1348,4585,-1340,4589,-1340,4589,-1325,4593,-1325,4593,-1317,4597,-1317,4597,-1309,4608,-1309,4608,-1302,4612,-1302,4612,-1294,4612,-1286,4624,-1286,4624,-1279,4624,-1271,4628,-1271,4628,-1263,4639,-1263,4639,-1256,4639,-1248,4643,-1248,4643,-1240,4647,-1240,4647,-1233,4651,-1233,4651,-1225,4651,-1217,4651,-1210,4655,-1210,4655,-1202,4678,-1202,4678,-1194,4678,-1187,4682,-1187,4682,-1171,4686,-1171,4686,-1163,4690,-1163,4690,-1156,4698,-1156,4698,-1144,4702,-1144,4702,-1137,4706,-1137,4706,-1129,4714,-1129,4714,-1121,4717,-1121,4717,-1114,4717,-1106,4721,-1106,4721,-1098,4721,-1091,4725,-1091,4725,-1083,4737,-1083,4737,-1075,4741,-1075,4741,-1068,4745,-1068,4745,-1060,4745,-1048,4749,-1048,4749,-1041,4756,-1041,4756,-1033,4760,-1033,4760,-1025,4764,-1025,4764,-1018,4768,-1018,4768,-1010,4768,-1002,4780,-1002,4780,-995,4784,-995,4784,-987,4795,-987,4795,-976,4795,-968,4799,-968,4799,-960,4803,-960,4803,-953,4815,-953,4815,-945,4830,-945,4830,-937,4869,-937,4869,-926,4885,-926,4885,-918,4908,-918,4908,-910,4912,-910,4912,-903,4928,-903,4928,-891,4928,-883,4943,-883,4943,-876,4955,-876,4955,-868,4971,-868,4971,-857,4990,-857,4990,-849,4994,-849,4994,-841,5006,-841,5006,-830,5033,-830,5033,-822,5033,-814,5033,-803,5060,-803,5060,-795,5080,-795,5080,-788,5088,-788,5088,-776,5096,-776,5096,-768,5181,-768,5181,-761,5185,-761,5185,-749,5197,-749,5197,-742,5279,-742,5279,-730,5283,-730,5283,-722,5368,-722,5368,-692,5509,-692,5509,-638,5637,-638,5637,-550,5821,-550,5821,-435,5879,-435,5879,-319,5918,-319e" filled="false" stroked="true" strokeweight=".192931pt" strokecolor="#0000ff">
              <v:path arrowok="t"/>
              <v:stroke dashstyle="solid"/>
            </v:shape>
            <v:line style="position:absolute" from="5902,-1869" to="6016,-1869" stroked="true" strokeweight=".191216pt" strokecolor="#ff0000">
              <v:stroke dashstyle="solid"/>
            </v:line>
            <v:line style="position:absolute" from="5902,-1797" to="6016,-1797" stroked="true" strokeweight=".191216pt" strokecolor="#0000ff">
              <v:stroke dashstyle="solid"/>
            </v:line>
            <v:shape style="position:absolute;left:5847;top:-1947;width:523;height:223" type="#_x0000_t202" filled="false" stroked="true" strokeweight=".191753pt" strokecolor="#000000">
              <v:textbox inset="0,0,0,0">
                <w:txbxContent>
                  <w:p>
                    <w:pPr>
                      <w:spacing w:line="254" w:lineRule="auto" w:before="45"/>
                      <w:ind w:left="224" w:right="2" w:firstLine="0"/>
                      <w:jc w:val="left"/>
                      <w:rPr>
                        <w:rFonts w:ascii="Arial"/>
                        <w:sz w:val="6"/>
                      </w:rPr>
                    </w:pPr>
                    <w:r>
                      <w:rPr>
                        <w:rFonts w:ascii="Arial"/>
                        <w:w w:val="105"/>
                        <w:sz w:val="6"/>
                      </w:rPr>
                      <w:t>normal increased</w:t>
                    </w:r>
                  </w:p>
                </w:txbxContent>
              </v:textbox>
              <v:stroke dashstyle="solid"/>
              <w10:wrap type="none"/>
            </v:shape>
            <w10:wrap type="none"/>
          </v:group>
        </w:pict>
      </w:r>
      <w:r>
        <w:rPr>
          <w:rFonts w:ascii="Arial"/>
          <w:sz w:val="6"/>
        </w:rPr>
        <w:t>time(days)</w:t>
      </w:r>
    </w:p>
    <w:p>
      <w:pPr>
        <w:spacing w:after="0"/>
        <w:jc w:val="center"/>
        <w:rPr>
          <w:rFonts w:ascii="Arial"/>
          <w:sz w:val="6"/>
        </w:rPr>
        <w:sectPr>
          <w:type w:val="continuous"/>
          <w:pgSz w:w="11910" w:h="16850"/>
          <w:pgMar w:top="1080" w:bottom="1020" w:left="1060" w:right="0"/>
          <w:cols w:num="3" w:equalWidth="0">
            <w:col w:w="2555" w:space="147"/>
            <w:col w:w="2543" w:space="58"/>
            <w:col w:w="5547"/>
          </w:cols>
        </w:sectPr>
      </w:pPr>
    </w:p>
    <w:p>
      <w:pPr>
        <w:pStyle w:val="BodyText"/>
        <w:spacing w:before="6"/>
        <w:ind w:left="0"/>
        <w:rPr>
          <w:rFonts w:ascii="Arial"/>
          <w:sz w:val="13"/>
        </w:rPr>
      </w:pPr>
    </w:p>
    <w:p>
      <w:pPr>
        <w:tabs>
          <w:tab w:pos="3277" w:val="left" w:leader="none"/>
          <w:tab w:pos="5937" w:val="left" w:leader="none"/>
        </w:tabs>
        <w:spacing w:before="85"/>
        <w:ind w:left="817" w:right="0" w:firstLine="0"/>
        <w:jc w:val="left"/>
        <w:rPr>
          <w:sz w:val="15"/>
        </w:rPr>
      </w:pPr>
      <w:r>
        <w:rPr>
          <w:sz w:val="15"/>
        </w:rPr>
        <w:t>图</w:t>
      </w:r>
      <w:r>
        <w:rPr>
          <w:rFonts w:ascii="Times New Roman" w:eastAsia="Times New Roman"/>
          <w:sz w:val="15"/>
        </w:rPr>
        <w:t>1J </w:t>
      </w:r>
      <w:r>
        <w:rPr>
          <w:rFonts w:ascii="Times New Roman" w:eastAsia="Times New Roman"/>
          <w:spacing w:val="2"/>
          <w:sz w:val="15"/>
        </w:rPr>
        <w:t> </w:t>
      </w:r>
      <w:r>
        <w:rPr>
          <w:spacing w:val="-3"/>
          <w:sz w:val="15"/>
        </w:rPr>
        <w:t>肺</w:t>
      </w:r>
      <w:r>
        <w:rPr>
          <w:sz w:val="15"/>
        </w:rPr>
        <w:t>切</w:t>
      </w:r>
      <w:r>
        <w:rPr>
          <w:spacing w:val="-3"/>
          <w:sz w:val="15"/>
        </w:rPr>
        <w:t>除</w:t>
      </w:r>
      <w:r>
        <w:rPr>
          <w:sz w:val="15"/>
        </w:rPr>
        <w:t>手术</w:t>
        <w:tab/>
      </w:r>
      <w:r>
        <w:rPr>
          <w:spacing w:val="-3"/>
          <w:sz w:val="15"/>
        </w:rPr>
        <w:t>图</w:t>
      </w:r>
      <w:r>
        <w:rPr>
          <w:rFonts w:ascii="Times New Roman" w:eastAsia="Times New Roman"/>
          <w:sz w:val="15"/>
        </w:rPr>
        <w:t>1K </w:t>
      </w:r>
      <w:r>
        <w:rPr>
          <w:rFonts w:ascii="Times New Roman" w:eastAsia="Times New Roman"/>
          <w:spacing w:val="4"/>
          <w:sz w:val="15"/>
        </w:rPr>
        <w:t> </w:t>
      </w:r>
      <w:r>
        <w:rPr>
          <w:spacing w:val="-3"/>
          <w:sz w:val="15"/>
        </w:rPr>
        <w:t>神</w:t>
      </w:r>
      <w:r>
        <w:rPr>
          <w:sz w:val="15"/>
        </w:rPr>
        <w:t>经</w:t>
      </w:r>
      <w:r>
        <w:rPr>
          <w:spacing w:val="-3"/>
          <w:sz w:val="15"/>
        </w:rPr>
        <w:t>元</w:t>
      </w:r>
      <w:r>
        <w:rPr>
          <w:sz w:val="15"/>
        </w:rPr>
        <w:t>特</w:t>
      </w:r>
      <w:r>
        <w:rPr>
          <w:spacing w:val="-3"/>
          <w:sz w:val="15"/>
        </w:rPr>
        <w:t>异</w:t>
      </w:r>
      <w:r>
        <w:rPr>
          <w:sz w:val="15"/>
        </w:rPr>
        <w:t>性</w:t>
      </w:r>
      <w:r>
        <w:rPr>
          <w:spacing w:val="-3"/>
          <w:sz w:val="15"/>
        </w:rPr>
        <w:t>烯</w:t>
      </w:r>
      <w:r>
        <w:rPr>
          <w:sz w:val="15"/>
        </w:rPr>
        <w:t>醇</w:t>
      </w:r>
      <w:r>
        <w:rPr>
          <w:spacing w:val="-3"/>
          <w:sz w:val="15"/>
        </w:rPr>
        <w:t>化</w:t>
      </w:r>
      <w:r>
        <w:rPr>
          <w:sz w:val="15"/>
        </w:rPr>
        <w:t>酶</w:t>
        <w:tab/>
      </w:r>
      <w:r>
        <w:rPr>
          <w:spacing w:val="-3"/>
          <w:sz w:val="15"/>
        </w:rPr>
        <w:t>图</w:t>
      </w:r>
      <w:r>
        <w:rPr>
          <w:rFonts w:ascii="Times New Roman" w:eastAsia="Times New Roman"/>
          <w:sz w:val="15"/>
        </w:rPr>
        <w:t>1L</w:t>
      </w:r>
      <w:r>
        <w:rPr>
          <w:rFonts w:ascii="Times New Roman" w:eastAsia="Times New Roman"/>
          <w:spacing w:val="36"/>
          <w:sz w:val="15"/>
        </w:rPr>
        <w:t> </w:t>
      </w:r>
      <w:r>
        <w:rPr>
          <w:spacing w:val="-3"/>
          <w:sz w:val="15"/>
        </w:rPr>
        <w:t>癌</w:t>
      </w:r>
      <w:r>
        <w:rPr>
          <w:sz w:val="15"/>
        </w:rPr>
        <w:t>胚</w:t>
      </w:r>
      <w:r>
        <w:rPr>
          <w:spacing w:val="-3"/>
          <w:sz w:val="15"/>
        </w:rPr>
        <w:t>抗</w:t>
      </w:r>
      <w:r>
        <w:rPr>
          <w:sz w:val="15"/>
        </w:rPr>
        <w:t>原</w:t>
      </w:r>
    </w:p>
    <w:p>
      <w:pPr>
        <w:spacing w:after="0"/>
        <w:jc w:val="left"/>
        <w:rPr>
          <w:sz w:val="15"/>
        </w:rPr>
        <w:sectPr>
          <w:type w:val="continuous"/>
          <w:pgSz w:w="11910" w:h="16850"/>
          <w:pgMar w:top="1080" w:bottom="1020" w:left="1060" w:right="0"/>
        </w:sectPr>
      </w:pPr>
    </w:p>
    <w:p>
      <w:pPr>
        <w:pStyle w:val="BodyText"/>
        <w:spacing w:before="4"/>
        <w:ind w:left="0"/>
        <w:rPr>
          <w:sz w:val="15"/>
        </w:rPr>
      </w:pPr>
    </w:p>
    <w:p>
      <w:pPr>
        <w:spacing w:after="0"/>
        <w:rPr>
          <w:sz w:val="15"/>
        </w:rPr>
        <w:sectPr>
          <w:headerReference w:type="default" r:id="rId12"/>
          <w:pgSz w:w="11910" w:h="16850"/>
          <w:pgMar w:header="906" w:footer="607" w:top="1100" w:bottom="800" w:left="1060" w:right="0"/>
        </w:sectPr>
      </w:pPr>
    </w:p>
    <w:p>
      <w:pPr>
        <w:pStyle w:val="BodyText"/>
        <w:spacing w:before="11"/>
        <w:ind w:left="0"/>
        <w:rPr>
          <w:sz w:val="7"/>
        </w:rPr>
      </w:pPr>
    </w:p>
    <w:p>
      <w:pPr>
        <w:spacing w:before="0"/>
        <w:ind w:left="709" w:right="0" w:firstLine="0"/>
        <w:jc w:val="left"/>
        <w:rPr>
          <w:rFonts w:ascii="Arial"/>
          <w:b/>
          <w:sz w:val="7"/>
        </w:rPr>
      </w:pPr>
      <w:r>
        <w:rPr/>
        <w:pict>
          <v:group style="position:absolute;margin-left:80.584732pt;margin-top:9.134106pt;width:106.95pt;height:96pt;mso-position-horizontal-relative:page;mso-position-vertical-relative:paragraph;z-index:3928" coordorigin="1612,183" coordsize="2139,1920">
            <v:shape style="position:absolute;left:1381;top:3661;width:11158;height:10031" coordorigin="1382,3662" coordsize="11158,10031" path="m1646,2068l3542,2068m1646,2068l1646,2103m1919,2068l1919,2103m2187,2068l2187,2103m2460,2068l2460,2103m2728,2068l2728,2103m3001,2068l3001,2103m3269,2068l3269,2103m3542,2068l3542,2103m1646,1995l1646,254m1646,1995l1612,1995m1646,1650l1612,1650m1646,1301l1612,1301m1646,952l1612,952m1646,603l1612,603m1646,254l1612,254m1646,2068l3749,2068,3749,185,1646,185,1646,2068e" filled="false" stroked="true" strokeweight=".191376pt" strokecolor="#000000">
              <v:path arrowok="t"/>
              <v:stroke dashstyle="solid"/>
            </v:shape>
            <v:shape style="position:absolute;left:1646;top:253;width:2022;height:1539" coordorigin="1646,254" coordsize="2022,1539" path="m1646,254l1658,254,1658,257,1658,261,1662,261,1665,261,1665,265,1673,265,1673,269,1673,273,1677,273,1688,273,1688,277,1692,277,1692,280,1692,284,1696,284,1696,288,1700,288,1700,296,1704,296,1704,300,1711,300,1711,303,1715,303,1715,307,1715,311,1715,315,1723,315,1723,319,1723,323,1727,323,1727,326,1727,330,1727,334,1727,342,1731,342,1731,346,1734,346,1734,350,1734,353,1738,353,1738,357,1738,361,1746,361,1746,369,1746,373,1746,376,1750,376,1750,380,1750,388,1750,392,1750,399,1754,399,1754,403,1754,407,1754,411,1758,411,1758,415,1758,419,1761,419,1761,422,1761,426,1769,426,1769,430,1769,434,1769,438,1773,438,1773,442,1777,442,1777,445,1777,449,1777,453,1781,453,1781,461,1781,465,1784,465,1784,468,1784,472,1788,472,1788,476,1788,480,1792,480,1792,484,1792,491,1792,495,1796,495,1796,499,1796,503,1796,507,1796,511,1796,514,1804,514,1804,522,1804,526,1807,526,1807,534,1807,538,1811,538,1811,541,1811,549,1819,549,1819,553,1823,553,1823,557,1823,561,1823,564,1827,564,1827,568,1827,572,1830,572,1834,572,1834,580,1834,584,1838,584,1838,595,1838,603,1842,603,1842,607,1846,607,1846,614,1846,618,1846,630,1853,630,1853,633,1853,637,1857,637,1857,641,1857,645,1861,645,1861,649,1865,649,1865,653,1865,656,1869,656,1869,660,1869,664,1869,668,1869,672,1873,672,1876,672,1876,679,1880,679,1880,683,1880,687,1884,687,1884,691,1884,695,1884,699,1884,702,1888,702,1888,706,1888,710,1892,710,1892,714,1892,718,1892,722,1896,722,1896,726,1896,729,1899,729,1899,733,1903,733,1903,737,1907,737,1907,741,1907,745,1907,756,1911,756,1911,760,1915,760,1915,764,1919,764,1919,768,1919,772,1922,772,1922,775,1926,775,1926,779,1926,791,1930,791,1930,795,1930,798,1930,802,1930,806,1934,806,1934,810,1934,814,1938,814,1938,818,1938,821,1938,829,1942,829,1942,833,1942,837,1946,837,1946,841,1946,844,1949,844,1949,848,1949,852,1953,852,1953,856,1953,860,1957,860,1957,864,1961,864,1961,867,1965,867,1965,871,1965,875,1968,875,1968,879,1972,879,1972,883,1976,883,1976,887,1976,894,1976,898,1980,898,1980,902,1984,902,1984,906,1984,910,1984,913,1988,913,1988,917,1988,921,2007,921,2007,929,2011,929,2011,933,2011,936,2015,936,2015,940,2022,940,2022,948,2022,952,2026,952,2026,956,2030,956,2030,960,2034,960,2034,963,2034,967,2038,967,2038,971,2041,971,2041,975,2045,975,2045,979,2049,979,2049,986,2049,990,2053,990,2053,994,2061,994,2061,998,2061,1002,2068,1002,2068,1005,2068,1013,2068,1017,2072,1017,2072,1021,2072,1025,2076,1025,2080,1025,2080,1029,2080,1032,2091,1032,2091,1036,2095,1036,2095,1040,2095,1044,2095,1048,2095,1052,2099,1052,2099,1055,2099,1059,2099,1063,2103,1063,2103,1067,2103,1071,2111,1071,2111,1075,2118,1075,2118,1078,2126,1078,2126,1082,2130,1082,2130,1090,2134,1090,2134,1094,2137,1094,2137,1098,2141,1098,2141,1101,2141,1105,2141,1109,2153,1109,2153,1113,2153,1117,2157,1117,2157,1121,2157,1124,2160,1124,2160,1128,2168,1128,2168,1132,2172,1132,2172,1136,2176,1136,2176,1140,2180,1140,2180,1144,2187,1144,2187,1147,2191,1147,2191,1151,2195,1151,2195,1155,2203,1155,2203,1159,2214,1159,2214,1163,2226,1163,2226,1167,2229,1167,2229,1170,2233,1170,2233,1174,2237,1174,2237,1182,2245,1182,2245,1186,2256,1186,2256,1190,2260,1190,2260,1193,2264,1193,2264,1197,2268,1197,2268,1201,2272,1201,2272,1205,2279,1205,2279,1209,2287,1209,2287,1213,2291,1213,2291,1217,2295,1217,2295,1220,2299,1220,2299,1232,2306,1232,2306,1236,2310,1236,2310,1239,2333,1239,2333,1243,2341,1243,2341,1247,2344,1247,2344,1251,2352,1251,2352,1255,2375,1255,2375,1259,2383,1259,2383,1263,2387,1263,2387,1270,2402,1270,2402,1274,2406,1274,2406,1278,2414,1278,2414,1282,2414,1286,2417,1286,2417,1289,2417,1293,2421,1293,2421,1297,2437,1297,2437,1301,2440,1301,2440,1305,2444,1305,2444,1309,2448,1309,2448,1312,2456,1312,2456,1316,2475,1316,2475,1320,2479,1320,2479,1324,2498,1324,2498,1328,2502,1328,2502,1332,2506,1332,2506,1335,2509,1335,2509,1339,2525,1339,2525,1343,2533,1343,2533,1347,2552,1347,2552,1351,2567,1351,2567,1355,2579,1355,2579,1358,2586,1358,2586,1362,2590,1362,2590,1366,2740,1366,2740,1382,2744,1382,2744,1397,2763,1397,2763,1408,2828,1408,2828,1427,3097,1427,3097,1508,3135,1508,3135,1589,3396,1589,3396,1792,3668,1792e" filled="false" stroked="true" strokeweight=".191333pt" strokecolor="#ff0000">
              <v:path arrowok="t"/>
              <v:stroke dashstyle="solid"/>
            </v:shape>
            <v:shape style="position:absolute;left:1646;top:253;width:1907;height:1608" coordorigin="1646,254" coordsize="1907,1608" path="m1646,254l1654,254,1654,257,1658,257,1658,261,1662,261,1662,265,1665,265,1665,269,1669,269,1669,273,1685,273,1685,277,1688,277,1688,280,1688,284,1688,288,1692,288,1692,292,1696,292,1696,296,1696,300,1696,303,1700,303,1700,307,1704,307,1704,311,1708,311,1708,315,1708,319,1711,319,1711,323,1715,323,1715,330,1715,334,1719,334,1719,338,1719,342,1719,346,1719,350,1723,350,1723,353,1727,353,1727,357,1727,361,1731,361,1731,365,1734,365,1734,369,1734,373,1738,373,1738,376,1738,380,1742,380,1742,384,1742,388,1746,388,1746,392,1746,396,1750,396,1750,399,1750,403,1750,407,1754,407,1754,415,1754,419,1758,419,1758,422,1761,422,1761,430,1761,434,1765,434,1765,442,1769,442,1769,445,1769,449,1769,453,1769,457,1777,457,1777,461,1781,461,1781,468,1781,472,1781,480,1781,484,1781,488,1784,488,1784,491,1784,495,1788,495,1788,499,1788,503,1792,503,1792,507,1796,507,1796,511,1800,511,1800,514,1800,518,1800,526,1804,526,1804,530,1804,534,1804,538,1807,538,1807,541,1807,545,1807,549,1811,549,1811,553,1815,553,1815,557,1815,561,1819,561,1819,564,1819,568,1823,568,1823,572,1823,576,1823,580,1827,580,1827,584,1827,587,1830,587,1830,591,1830,595,1830,599,1834,599,1834,603,1834,607,1834,614,1838,614,1838,618,1842,618,1842,630,1846,630,1846,633,1846,633,1846,637,1846,641,1846,645,1850,645,1850,649,1850,653,1853,653,1853,656,1853,660,1857,660,1857,664,1857,668,1861,668,1861,672,1861,676,1861,679,1861,683,1865,683,1865,691,1865,695,1865,699,1869,699,1869,706,1869,710,1876,710,1876,714,1876,718,1880,718,1880,722,1884,722,1884,726,1884,729,1884,733,1888,733,1888,737,1888,741,1892,741,1892,745,1892,748,1899,748,1899,752,1903,752,1903,760,1911,760,1911,764,1915,764,1915,768,1915,772,1915,775,1915,779,1922,779,1922,787,1922,791,1926,791,1926,795,1926,802,1926,806,1938,806,1938,810,1942,810,1942,814,1942,818,1946,818,1946,821,1946,829,1953,829,1953,833,1957,833,1957,841,1957,848,1957,852,1965,852,1965,856,1968,856,1968,860,1972,860,1972,864,1972,867,1976,867,1976,875,1976,879,1980,879,1980,883,1984,883,1984,887,1984,890,1984,894,1992,894,1992,898,1992,906,1995,906,1995,910,1999,910,1999,913,2003,913,2003,917,2007,917,2007,921,2007,925,2007,929,2011,929,2011,936,2011,940,2015,940,2015,944,2015,948,2018,948,2018,952,2018,956,2022,956,2022,963,2022,967,2026,967,2026,971,2026,975,2026,979,2030,979,2030,983,2030,986,2034,986,2034,994,2034,998,2038,998,2038,1002,2041,1002,2041,1005,2045,1005,2045,1009,2045,1009,2045,1013,2045,1021,2045,1025,2049,1025,2049,1029,2049,1032,2049,1040,2053,1040,2053,1048,2053,1052,2053,1055,2057,1055,2057,1059,2057,1063,2061,1063,2061,1071,2064,1071,2064,1078,2064,1082,2076,1082,2076,1086,2076,1098,2076,1101,2076,1105,2087,1105,2087,1113,2091,1113,2091,1121,2095,1121,2095,1124,2103,1124,2103,1128,2107,1128,2107,1132,2107,1140,2111,1140,2111,1144,2114,1144,2114,1151,2114,1155,2118,1155,2118,1163,2122,1163,2122,1167,2126,1167,2126,1170,2126,1174,2134,1174,2134,1182,2141,1182,2141,1186,2145,1186,2145,1190,2145,1193,2149,1193,2149,1197,2157,1197,2157,1205,2157,1209,2160,1209,2160,1213,2160,1217,2164,1217,2164,1224,2172,1224,2172,1228,2183,1228,2183,1232,2183,1236,2191,1236,2191,1239,2199,1239,2199,1247,2203,1247,2203,1251,2206,1251,2206,1255,2206,1259,2210,1259,2210,1266,2210,1270,2214,1270,2214,1274,2214,1278,2226,1278,2226,1286,2226,1289,2237,1289,2237,1293,2237,1297,2241,1297,2241,1305,2245,1305,2245,1309,2249,1309,2249,1316,2249,1324,2252,1324,2252,1328,2252,1332,2256,1332,2256,1335,2268,1335,2268,1343,2268,1347,2272,1347,2272,1351,2279,1351,2279,1358,2283,1358,2283,1362,2283,1366,2295,1366,2295,1370,2295,1378,2299,1378,2299,1382,2318,1382,2318,1385,2318,1389,2321,1389,2321,1397,2325,1397,2325,1401,2333,1401,2333,1404,2341,1404,2341,1416,2348,1416,2348,1420,2360,1420,2360,1424,2360,1431,2360,1435,2368,1435,2368,1439,2371,1439,2371,1443,2379,1443,2379,1451,2383,1451,2383,1454,2387,1454,2387,1458,2394,1458,2394,1470,2421,1470,2421,1474,2425,1474,2425,1477,2429,1477,2429,1485,2437,1485,2437,1489,2448,1489,2448,1493,2448,1500,2509,1500,2509,1504,2517,1504,2517,1508,2521,1508,2521,1512,2521,1520,2552,1520,2552,1523,2579,1523,2579,1527,2590,1527,2590,1535,2602,1535,2602,1539,2605,1539,2605,1546,2613,1546,2613,1554,2690,1554,2690,1569,2721,1569,2721,1589,2955,1589,2955,1723,3192,1723,3192,1861,3553,1861e" filled="false" stroked="true" strokeweight=".191349pt" strokecolor="#0000ff">
              <v:path arrowok="t"/>
              <v:stroke dashstyle="solid"/>
            </v:shape>
            <v:shape style="position:absolute;left:3161;top:253;width:515;height:223" type="#_x0000_t202" filled="false" stroked="true" strokeweight=".191266pt" strokecolor="#000000">
              <v:textbox inset="0,0,0,0">
                <w:txbxContent>
                  <w:p>
                    <w:pPr>
                      <w:spacing w:before="45"/>
                      <w:ind w:left="51" w:right="0" w:firstLine="0"/>
                      <w:jc w:val="left"/>
                      <w:rPr>
                        <w:rFonts w:ascii="Arial"/>
                        <w:sz w:val="6"/>
                      </w:rPr>
                    </w:pPr>
                    <w:r>
                      <w:rPr>
                        <w:rFonts w:ascii="Arial"/>
                        <w:w w:val="102"/>
                        <w:sz w:val="6"/>
                        <w:u w:val="single" w:color="FF0000"/>
                      </w:rPr>
                      <w:t> </w:t>
                    </w:r>
                    <w:r>
                      <w:rPr>
                        <w:rFonts w:ascii="Arial"/>
                        <w:sz w:val="6"/>
                        <w:u w:val="single" w:color="FF0000"/>
                      </w:rPr>
                      <w:t>       </w:t>
                    </w:r>
                    <w:r>
                      <w:rPr>
                        <w:rFonts w:ascii="Arial"/>
                        <w:sz w:val="6"/>
                      </w:rPr>
                      <w:t>  normal</w:t>
                    </w:r>
                  </w:p>
                  <w:p>
                    <w:pPr>
                      <w:spacing w:before="4"/>
                      <w:ind w:left="51" w:right="0" w:firstLine="0"/>
                      <w:jc w:val="left"/>
                      <w:rPr>
                        <w:rFonts w:ascii="Arial"/>
                        <w:sz w:val="6"/>
                      </w:rPr>
                    </w:pPr>
                    <w:r>
                      <w:rPr>
                        <w:rFonts w:ascii="Arial"/>
                        <w:w w:val="102"/>
                        <w:sz w:val="6"/>
                        <w:u w:val="single" w:color="0000FF"/>
                      </w:rPr>
                      <w:t> </w:t>
                    </w:r>
                    <w:r>
                      <w:rPr>
                        <w:rFonts w:ascii="Arial"/>
                        <w:sz w:val="6"/>
                        <w:u w:val="single" w:color="0000FF"/>
                      </w:rPr>
                      <w:t>       </w:t>
                    </w:r>
                    <w:r>
                      <w:rPr>
                        <w:rFonts w:ascii="Arial"/>
                        <w:sz w:val="6"/>
                      </w:rPr>
                      <w:t>  increased</w:t>
                    </w:r>
                  </w:p>
                </w:txbxContent>
              </v:textbox>
              <v:stroke dashstyle="solid"/>
              <w10:wrap type="none"/>
            </v:shape>
            <w10:wrap type="none"/>
          </v:group>
        </w:pict>
      </w:r>
      <w:r>
        <w:rPr/>
        <w:pict>
          <v:shape style="position:absolute;margin-left:74.316330pt;margin-top:44.50898pt;width:5.45pt;height:6.2pt;mso-position-horizontal-relative:page;mso-position-vertical-relative:paragraph;z-index:4072"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0.6</w:t>
                  </w:r>
                </w:p>
              </w:txbxContent>
            </v:textbox>
            <w10:wrap type="none"/>
          </v:shape>
        </w:pict>
      </w:r>
      <w:r>
        <w:rPr/>
        <w:pict>
          <v:shape style="position:absolute;margin-left:74.316330pt;margin-top:27.052896pt;width:5.45pt;height:6.2pt;mso-position-horizontal-relative:page;mso-position-vertical-relative:paragraph;z-index:4096"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0.8</w:t>
                  </w:r>
                </w:p>
              </w:txbxContent>
            </v:textbox>
            <w10:wrap type="none"/>
          </v:shape>
        </w:pict>
      </w:r>
      <w:r>
        <w:rPr/>
        <w:pict>
          <v:shape style="position:absolute;margin-left:74.316330pt;margin-top:9.600637pt;width:5.45pt;height:6.2pt;mso-position-horizontal-relative:page;mso-position-vertical-relative:paragraph;z-index:412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1.0</w:t>
                  </w:r>
                </w:p>
              </w:txbxContent>
            </v:textbox>
            <w10:wrap type="none"/>
          </v:shape>
        </w:pict>
      </w:r>
      <w:r>
        <w:rPr/>
        <w:pict>
          <v:shape style="position:absolute;margin-left:202.344986pt;margin-top:45.185619pt;width:3.7pt;height:5.75pt;mso-position-horizontal-relative:page;mso-position-vertical-relative:paragraph;z-index:4240"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0.6</w:t>
                  </w:r>
                </w:p>
              </w:txbxContent>
            </v:textbox>
            <w10:wrap type="none"/>
          </v:shape>
        </w:pict>
      </w:r>
      <w:r>
        <w:rPr/>
        <w:pict>
          <v:shape style="position:absolute;margin-left:202.344986pt;margin-top:27.208273pt;width:3.7pt;height:5.75pt;mso-position-horizontal-relative:page;mso-position-vertical-relative:paragraph;z-index:4264"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0.8</w:t>
                  </w:r>
                </w:p>
              </w:txbxContent>
            </v:textbox>
            <w10:wrap type="none"/>
          </v:shape>
        </w:pict>
      </w:r>
      <w:r>
        <w:rPr/>
        <w:pict>
          <v:shape style="position:absolute;margin-left:202.344986pt;margin-top:9.058511pt;width:3.7pt;height:5.75pt;mso-position-horizontal-relative:page;mso-position-vertical-relative:paragraph;z-index:4288"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1.0</w:t>
                  </w:r>
                </w:p>
              </w:txbxContent>
            </v:textbox>
            <w10:wrap type="none"/>
          </v:shape>
        </w:pict>
      </w:r>
      <w:r>
        <w:rPr>
          <w:rFonts w:ascii="Arial"/>
          <w:b/>
          <w:w w:val="105"/>
          <w:sz w:val="7"/>
        </w:rPr>
        <w:t>Survival functions(Carbohydrate antigen 125,CA125)</w:t>
      </w:r>
    </w:p>
    <w:p>
      <w:pPr>
        <w:pStyle w:val="BodyText"/>
        <w:ind w:left="0"/>
        <w:rPr>
          <w:rFonts w:ascii="Arial"/>
          <w:b/>
          <w:sz w:val="6"/>
        </w:rPr>
      </w:pPr>
      <w:r>
        <w:rPr/>
        <w:br w:type="column"/>
      </w:r>
      <w:r>
        <w:rPr>
          <w:rFonts w:ascii="Arial"/>
          <w:b/>
          <w:sz w:val="6"/>
        </w:rPr>
      </w:r>
    </w:p>
    <w:p>
      <w:pPr>
        <w:spacing w:before="36"/>
        <w:ind w:left="709" w:right="0" w:firstLine="0"/>
        <w:jc w:val="left"/>
        <w:rPr>
          <w:rFonts w:ascii="Arial"/>
          <w:b/>
          <w:sz w:val="6"/>
        </w:rPr>
      </w:pPr>
      <w:r>
        <w:rPr/>
        <w:pict>
          <v:group style="position:absolute;margin-left:205.923904pt;margin-top:9.841265pt;width:114.6pt;height:99.25pt;mso-position-horizontal-relative:page;mso-position-vertical-relative:paragraph;z-index:3976" coordorigin="4118,197" coordsize="2292,1985">
            <v:shape style="position:absolute;left:1380;top:2090;width:24419;height:11614" coordorigin="1381,2090" coordsize="24419,11614" path="m4135,2150l6181,2150m4135,2150l4135,2181m4428,2150l4428,2181m4721,2150l4721,2181m5012,2150l5012,2181m5305,2150l5305,2181m5597,2150l5597,2181m5890,2150l5890,2181m6181,2150l6181,2181m4135,2075l4135,270m4135,2075l4118,2075m4135,1715l4118,1715m4135,1356l4118,1356m4135,993l4118,993m4135,633l4118,633m4135,270l4118,270m4135,2150l6408,2150,6408,198,4135,198,4135,2150e" filled="false" stroked="true" strokeweight=".132233pt" strokecolor="#000000">
              <v:path arrowok="t"/>
              <v:stroke dashstyle="solid"/>
            </v:shape>
            <v:shape style="position:absolute;left:4135;top:270;width:2187;height:1569" coordorigin="4135,270" coordsize="2187,1569" path="m4135,270l4143,270,4143,274,4147,274,4147,277,4149,277,4149,284,4164,284,4167,284,4167,287,4177,287,4177,291,4179,291,4179,294,4182,294,4182,298,4184,298,4184,301,4184,305,4188,305,4188,311,4195,311,4195,315,4205,315,4205,318,4205,322,4209,322,4209,325,4210,325,4210,328,4210,332,4216,332,4216,335,4218,335,4218,339,4218,342,4222,342,4222,349,4222,353,4224,353,4224,356,4231,356,4231,359,4233,359,4233,363,4242,363,4242,366,4242,370,4242,373,4244,373,4244,376,4244,380,4246,380,4246,383,4246,390,4248,390,4248,394,4248,400,4250,400,4250,404,4250,407,4252,407,4252,411,4252,418,4254,418,4254,421,4257,421,4257,424,4259,424,4259,428,4261,428,4261,431,4263,431,4263,435,4267,435,4267,438,4276,438,4276,441,4276,452,4278,452,4278,455,4280,455,4280,459,4280,462,4280,466,4282,466,4282,469,4282,472,4284,472,4284,476,4286,476,4286,483,4287,483,4287,486,4291,486,4291,489,4293,489,4293,493,4293,500,4295,500,4295,503,4295,507,4297,507,4297,513,4297,517,4297,520,4299,520,4299,524,4299,527,4302,527,4302,534,4302,537,4304,537,4304,541,4306,541,4306,544,4308,544,4308,551,4310,551,4310,555,4310,558,4312,558,4312,565,4316,565,4316,568,4319,568,4319,572,4321,572,4321,575,4325,575,4325,578,4325,582,4325,585,4327,585,4327,589,4329,589,4329,592,4329,596,4331,596,4331,599,4332,599,4332,602,4334,602,4334,609,4336,609,4336,616,4338,616,4338,620,4340,620,4340,630,4342,630,4342,637,4344,637,4344,647,4347,647,4347,650,4349,650,4349,657,4351,657,4351,668,4351,671,4355,671,4355,674,4355,678,4357,678,4357,681,4361,681,4361,685,4362,685,4362,688,4366,688,4366,691,4366,695,4368,695,4368,698,4368,702,4370,702,4370,705,4370,712,4376,712,4376,719,4376,722,4377,722,4377,726,4377,729,4383,729,4383,733,4383,739,4385,739,4385,743,4387,743,4387,746,4387,750,4391,750,4391,753,4392,753,4392,757,4394,757,4394,760,4394,763,4394,767,4398,767,4398,770,4398,774,4400,774,4400,781,4409,781,4409,784,4411,784,4411,787,4413,787,4413,791,4413,794,4415,794,4415,798,4417,798,4417,804,4421,804,4421,808,4426,808,4426,811,4426,815,4434,815,4434,822,4436,822,4436,825,4436,828,4437,828,4437,832,4439,832,4439,835,4439,846,4441,846,4441,849,4443,849,4443,852,4445,852,4445,856,4447,856,4447,863,4449,863,4449,866,4451,866,4451,870,4453,870,4453,873,4454,873,4454,876,4454,880,4458,880,4458,883,4458,887,4462,887,4462,890,4464,890,4464,894,4466,894,4466,897,4466,904,4468,904,4468,907,4471,907,4471,911,4475,911,4475,914,4477,914,4477,917,4481,917,4481,921,4484,921,4484,924,4486,924,4486,928,4490,928,4490,931,4490,935,4492,935,4492,941,4496,941,4496,945,4499,945,4499,952,4499,955,4501,955,4501,959,4503,959,4503,962,4509,962,4509,965,4513,965,4513,969,4514,969,4514,972,4520,972,4520,979,4524,979,4524,986,4524,989,4526,989,4526,993,4528,993,4528,996,4531,996,4531,1000,4539,1000,4539,1003,4541,1003,4541,1006,4544,1006,4544,1010,4546,1010,4546,1017,4546,1020,4548,1020,4548,1027,4550,1027,4550,1030,4552,1030,4552,1034,4556,1034,4556,1037,4556,1041,4561,1041,4561,1044,4563,1044,4563,1051,4565,1051,4565,1054,4567,1054,4567,1058,4567,1061,4571,1061,4571,1072,4582,1072,4582,1075,4593,1075,4593,1082,4597,1082,4597,1085,4599,1085,4599,1089,4599,1092,4601,1092,4601,1096,4605,1096,4605,1099,4618,1099,4618,1102,4620,1102,4620,1109,4627,1109,4627,1113,4631,1113,4631,1120,4633,1120,4633,1123,4638,1123,4638,1126,4640,1126,4640,1130,4644,1130,4644,1137,4646,1137,4646,1140,4655,1140,4655,1144,4659,1144,4659,1147,4661,1147,4661,1150,4670,1150,4670,1154,4670,1164,4672,1164,4672,1167,4681,1167,4681,1171,4683,1171,4683,1174,4685,1174,4685,1178,4687,1178,4687,1181,4687,1188,4689,1188,4689,1191,4691,1191,4691,1195,4691,1198,4696,1198,4696,1202,4700,1202,4700,1209,4702,1209,4702,1212,4710,1212,4710,1215,4711,1215,4711,1219,4717,1219,4717,1222,4721,1222,4721,1226,4730,1226,4730,1233,4736,1233,4736,1236,4740,1236,4740,1239,4749,1239,4749,1243,4762,1243,4762,1246,4772,1246,4772,1253,4773,1253,4773,1260,4781,1260,4781,1263,4785,1263,4785,1274,4788,1274,4788,1277,4788,1280,4800,1280,4800,1284,4803,1284,4803,1287,4805,1287,4805,1298,4813,1298,4813,1301,4820,1301,4820,1304,4835,1304,4835,1308,4837,1308,4837,1315,4839,1315,4839,1318,4850,1318,4850,1322,4875,1322,4875,1325,4888,1325,4888,1328,4890,1328,4890,1335,4892,1335,4892,1339,4897,1339,4897,1342,4916,1342,4916,1346,4924,1346,4924,1349,4931,1349,4931,1356,4933,1356,4933,1359,4944,1359,4944,1363,4954,1363,4954,1366,4969,1366,4969,1373,4974,1373,4974,1376,4989,1376,4989,1380,4999,1380,4999,1383,5002,1383,5002,1387,5002,1393,5008,1393,5008,1397,5032,1397,5032,1400,5034,1400,5034,1404,5057,1404,5057,1411,5059,1411,5059,1414,5077,1414,5077,1417,5079,1417,5079,1421,5087,1421,5087,1428,5113,1428,5113,1431,5115,1431,5115,1434,5128,1434,5128,1438,5143,1438,5143,1441,5156,1441,5156,1452,5316,1452,5316,1469,5320,1469,5320,1486,5704,1486,5704,1602,6025,1602,6025,1839,6322,1839e" filled="false" stroked="true" strokeweight=".144564pt" strokecolor="#ff0000">
              <v:path arrowok="t"/>
              <v:stroke dashstyle="solid"/>
            </v:shape>
            <v:shape style="position:absolute;left:4135;top:270;width:2063;height:1641" coordorigin="4135,270" coordsize="2063,1641" path="m4135,270l4152,270,4152,274,4154,274,4154,277,4156,277,4156,284,4162,284,4162,287,4164,287,4164,291,4175,291,4175,294,4179,294,4179,298,4182,298,4182,301,4186,301,4186,305,4188,305,4188,308,4188,311,4190,311,4190,315,4192,315,4192,318,4192,325,4194,325,4194,328,4195,328,4195,332,4199,332,4199,335,4203,335,4203,339,4205,339,4205,342,4209,342,4209,349,4210,349,4210,353,4212,353,4212,356,4212,359,4214,359,4214,366,4214,370,4218,370,4218,373,4220,373,4220,376,4222,376,4222,380,4222,383,4222,390,4224,390,4224,394,4227,394,4227,397,4229,397,4229,400,4231,400,4231,404,4233,404,4233,407,4233,411,4235,411,4235,414,4235,418,4237,418,4237,421,4237,424,4240,424,4240,431,4242,431,4242,435,4244,435,4244,438,4244,441,4246,441,4246,445,4246,448,4248,448,4248,452,4250,452,4250,455,4254,455,4254,459,4254,462,4254,466,4257,466,4257,476,4259,476,4259,479,4263,479,4263,483,4267,483,4267,486,4267,493,4269,493,4269,496,4269,500,4270,500,4270,503,4272,503,4272,507,4280,507,4280,517,4280,524,4280,527,4282,527,4282,531,4284,531,4284,534,4289,534,4289,537,4289,544,4289,548,4291,548,4291,551,4295,551,4295,555,4301,555,4301,558,4302,558,4302,565,4306,565,4306,568,4306,575,4308,575,4308,578,4308,582,4312,582,4312,585,4316,585,4316,589,4317,589,4317,592,4321,592,4321,596,4323,596,4323,602,4325,602,4325,606,4325,609,4334,609,4334,613,4334,616,4336,616,4336,620,4340,620,4340,626,4342,626,4342,633,4346,633,4346,640,4349,640,4349,644,4349,654,4351,654,4351,661,4361,661,4361,671,4362,671,4362,678,4364,678,4364,681,4366,681,4366,685,4370,685,4370,688,4370,695,4372,695,4372,698,4374,698,4374,702,4374,705,4374,709,4376,709,4376,712,4387,712,4387,719,4391,719,4391,722,4392,722,4392,726,4392,729,4392,733,4396,733,4396,739,4396,743,4398,743,4398,746,4402,746,4402,750,4402,757,4404,757,4404,760,4404,763,4409,763,4409,767,4415,767,4415,770,4417,770,4417,777,4422,777,4422,781,4422,784,4424,784,4424,787,4424,794,4428,794,4428,798,4430,798,4430,801,4432,801,4432,811,4436,811,4436,815,4437,815,4437,818,4441,818,4441,822,4441,825,4443,825,4443,832,4451,832,4451,835,4453,835,4453,839,4453,842,4453,849,4456,849,4456,856,4458,856,4458,859,4460,859,4460,866,4469,866,4469,870,4469,876,4471,876,4471,883,4479,883,4479,887,4483,887,4483,890,4490,890,4490,897,4492,897,4492,900,4492,904,4492,907,4494,907,4494,914,4494,917,4496,917,4496,921,4501,921,4501,928,4501,931,4505,931,4505,935,4507,935,4507,941,4522,941,4522,945,4528,945,4528,948,4529,948,4529,952,4529,959,4531,959,4531,962,4533,962,4533,965,4535,965,4535,972,4539,972,4539,976,4539,979,4541,979,4541,986,4543,986,4543,989,4546,989,4546,993,4550,993,4550,1000,4554,1000,4554,1003,4554,1006,4558,1006,4558,1010,4565,1010,4565,1017,4565,1020,4569,1020,4569,1024,4571,1024,4571,1030,4571,1037,4573,1037,4573,1044,4573,1048,4575,1048,4575,1051,4575,1058,4576,1058,4576,1061,4580,1061,4580,1068,4582,1068,4582,1072,4584,1072,4584,1075,4586,1075,4586,1085,4586,1089,4591,1089,4591,1096,4593,1096,4593,1102,4595,1102,4595,1109,4597,1109,4597,1113,4599,1113,4599,1116,4601,1116,4601,1123,4603,1123,4603,1126,4612,1126,4612,1137,4614,1137,4614,1140,4620,1140,4620,1144,4620,1150,4621,1150,4621,1154,4621,1161,4623,1161,4623,1164,4625,1164,4625,1167,4625,1174,4635,1174,4635,1178,4635,1181,4638,1181,4638,1191,4648,1191,4648,1195,4651,1195,4651,1202,4655,1202,4655,1205,4659,1205,4659,1209,4661,1209,4661,1215,4665,1215,4665,1219,4674,1219,4674,1226,4676,1226,4676,1229,4676,1233,4691,1233,4691,1239,4693,1239,4693,1243,4696,1243,4696,1246,4717,1246,4717,1253,4723,1253,4723,1256,4723,1263,4732,1263,4732,1267,4738,1267,4738,1270,4741,1270,4741,1277,4743,1277,4743,1280,4745,1280,4745,1284,4747,1284,4747,1291,4751,1291,4751,1294,4762,1294,4762,1301,4762,1304,4766,1304,4766,1308,4772,1308,4772,1315,4775,1315,4775,1318,4775,1325,4783,1325,4783,1328,4788,1328,4788,1332,4794,1332,4794,1339,4794,1342,4805,1342,4805,1349,4811,1349,4811,1352,4820,1352,4820,1356,4822,1356,4822,1363,4824,1363,4824,1366,4830,1366,4830,1373,4832,1373,4832,1376,4833,1376,4833,1380,4839,1380,4839,1390,4843,1390,4843,1397,4852,1397,4852,1400,4860,1400,4860,1407,4862,1407,4862,1411,4867,1411,4867,1414,4869,1414,4869,1421,4877,1421,4877,1424,4884,1424,4884,1431,4888,1431,4888,1434,4905,1434,4905,1438,4905,1445,4907,1445,4907,1448,4920,1448,4920,1455,4927,1455,4927,1459,4933,1459,4933,1465,4935,1465,4935,1469,4944,1469,4944,1476,4954,1476,4954,1479,4963,1479,4963,1482,4967,1482,4967,1489,4969,1489,4969,1493,4972,1493,4972,1500,4978,1500,4978,1503,4982,1503,4982,1510,4989,1510,4989,1513,4993,1513,4993,1520,5000,1520,5000,1524,5064,1524,5064,1527,5068,1527,5068,1534,5068,1537,5079,1537,5079,1544,5094,1544,5094,1548,5143,1548,5143,1554,5152,1554,5152,1558,5167,1558,5167,1565,5173,1565,5173,1572,5179,1572,5179,1578,5261,1578,5261,1592,5295,1592,5295,1609,5342,1609,5342,1630,5413,1630,5413,1661,5550,1661,5550,1743,5744,1743,5744,1828,5806,1828,5806,1910,6198,1910e" filled="false" stroked="true" strokeweight=".140894pt" strokecolor="#0000ff">
              <v:path arrowok="t"/>
              <v:stroke dashstyle="solid"/>
            </v:shape>
            <v:rect style="position:absolute;left:5889;top:270;width:229;height:185" filled="false" stroked="true" strokeweight=".140328pt" strokecolor="#000000">
              <v:stroke dashstyle="solid"/>
            </v:rect>
            <v:line style="position:absolute" from="5914,332" to="5963,332" stroked="true" strokeweight=".170709pt" strokecolor="#ff0000">
              <v:stroke dashstyle="solid"/>
            </v:line>
            <v:line style="position:absolute" from="5914,394" to="5963,394" stroked="true" strokeweight=".170709pt" strokecolor="#0000ff">
              <v:stroke dashstyle="solid"/>
            </v:line>
            <v:shape style="position:absolute;left:4136;top:199;width:2270;height:1949" type="#_x0000_t202" filled="false" stroked="false">
              <v:textbox inset="0,0,0,0">
                <w:txbxContent>
                  <w:p>
                    <w:pPr>
                      <w:spacing w:line="240" w:lineRule="auto" w:before="9"/>
                      <w:rPr>
                        <w:sz w:val="8"/>
                      </w:rPr>
                    </w:pPr>
                  </w:p>
                  <w:p>
                    <w:pPr>
                      <w:spacing w:line="256" w:lineRule="auto" w:before="1"/>
                      <w:ind w:left="1852" w:right="267" w:firstLine="0"/>
                      <w:jc w:val="left"/>
                      <w:rPr>
                        <w:rFonts w:ascii="Arial"/>
                        <w:sz w:val="5"/>
                      </w:rPr>
                    </w:pPr>
                    <w:r>
                      <w:rPr>
                        <w:rFonts w:ascii="Arial"/>
                        <w:w w:val="70"/>
                        <w:sz w:val="5"/>
                      </w:rPr>
                      <w:t>normal </w:t>
                    </w:r>
                    <w:r>
                      <w:rPr>
                        <w:rFonts w:ascii="Arial"/>
                        <w:w w:val="60"/>
                        <w:sz w:val="5"/>
                      </w:rPr>
                      <w:t>increased</w:t>
                    </w:r>
                  </w:p>
                </w:txbxContent>
              </v:textbox>
              <w10:wrap type="none"/>
            </v:shape>
            <w10:wrap type="none"/>
          </v:group>
        </w:pict>
      </w:r>
      <w:r>
        <w:rPr>
          <w:rFonts w:ascii="Arial"/>
          <w:b/>
          <w:w w:val="70"/>
          <w:sz w:val="6"/>
        </w:rPr>
        <w:t>Survival functions(Cytokeratin 19,CYFRA211)</w:t>
      </w:r>
    </w:p>
    <w:p>
      <w:pPr>
        <w:spacing w:after="0"/>
        <w:jc w:val="left"/>
        <w:rPr>
          <w:rFonts w:ascii="Arial"/>
          <w:sz w:val="6"/>
        </w:rPr>
        <w:sectPr>
          <w:type w:val="continuous"/>
          <w:pgSz w:w="11910" w:h="16850"/>
          <w:pgMar w:top="1080" w:bottom="1020" w:left="1060" w:right="0"/>
          <w:cols w:num="2" w:equalWidth="0">
            <w:col w:w="2609" w:space="504"/>
            <w:col w:w="7737"/>
          </w:cols>
        </w:sect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spacing w:after="0"/>
        <w:rPr>
          <w:rFonts w:ascii="Arial"/>
          <w:sz w:val="20"/>
        </w:rPr>
        <w:sectPr>
          <w:type w:val="continuous"/>
          <w:pgSz w:w="11910" w:h="16850"/>
          <w:pgMar w:top="1080" w:bottom="1020" w:left="1060" w:right="0"/>
        </w:sectPr>
      </w:pPr>
    </w:p>
    <w:p>
      <w:pPr>
        <w:pStyle w:val="BodyText"/>
        <w:ind w:left="0"/>
        <w:rPr>
          <w:rFonts w:ascii="Arial"/>
          <w:b/>
          <w:sz w:val="6"/>
        </w:rPr>
      </w:pPr>
    </w:p>
    <w:p>
      <w:pPr>
        <w:pStyle w:val="BodyText"/>
        <w:ind w:left="0"/>
        <w:rPr>
          <w:rFonts w:ascii="Arial"/>
          <w:b/>
          <w:sz w:val="6"/>
        </w:rPr>
      </w:pPr>
    </w:p>
    <w:p>
      <w:pPr>
        <w:pStyle w:val="BodyText"/>
        <w:spacing w:before="7"/>
        <w:ind w:left="0"/>
        <w:rPr>
          <w:rFonts w:ascii="Arial"/>
          <w:b/>
          <w:sz w:val="7"/>
        </w:rPr>
      </w:pPr>
    </w:p>
    <w:p>
      <w:pPr>
        <w:tabs>
          <w:tab w:pos="808" w:val="left" w:leader="none"/>
        </w:tabs>
        <w:spacing w:before="0"/>
        <w:ind w:left="570" w:right="0" w:firstLine="0"/>
        <w:jc w:val="center"/>
        <w:rPr>
          <w:rFonts w:ascii="Arial"/>
          <w:sz w:val="6"/>
        </w:rPr>
      </w:pPr>
      <w:r>
        <w:rPr/>
        <w:pict>
          <v:shape style="position:absolute;margin-left:67.023804pt;margin-top:-60.982559pt;width:5.45pt;height:19.75pt;mso-position-horizontal-relative:page;mso-position-vertical-relative:paragraph;z-index:4000"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Cum survival</w:t>
                  </w:r>
                </w:p>
              </w:txbxContent>
            </v:textbox>
            <w10:wrap type="none"/>
          </v:shape>
        </w:pict>
      </w:r>
      <w:r>
        <w:rPr/>
        <w:pict>
          <v:shape style="position:absolute;margin-left:74.316330pt;margin-top:-27.887714pt;width:5.45pt;height:23.5pt;mso-position-horizontal-relative:page;mso-position-vertical-relative:paragraph;z-index:4024" type="#_x0000_t202" filled="false" stroked="false">
            <v:textbox inset="0,0,0,0" style="layout-flow:vertical;mso-layout-flow-alt:bottom-to-top">
              <w:txbxContent>
                <w:p>
                  <w:pPr>
                    <w:tabs>
                      <w:tab w:pos="365" w:val="left" w:leader="none"/>
                    </w:tabs>
                    <w:spacing w:before="19"/>
                    <w:ind w:left="20" w:right="0" w:firstLine="0"/>
                    <w:jc w:val="left"/>
                    <w:rPr>
                      <w:rFonts w:ascii="Arial"/>
                      <w:sz w:val="6"/>
                    </w:rPr>
                  </w:pPr>
                  <w:r>
                    <w:rPr>
                      <w:rFonts w:ascii="Arial"/>
                      <w:sz w:val="6"/>
                    </w:rPr>
                    <w:t>0.0</w:t>
                    <w:tab/>
                    <w:t>0.2</w:t>
                  </w:r>
                </w:p>
              </w:txbxContent>
            </v:textbox>
            <w10:wrap type="none"/>
          </v:shape>
        </w:pict>
      </w:r>
      <w:r>
        <w:rPr/>
        <w:pict>
          <v:shape style="position:absolute;margin-left:74.316330pt;margin-top:-45.343796pt;width:5.45pt;height:6.2pt;mso-position-horizontal-relative:page;mso-position-vertical-relative:paragraph;z-index:4048" type="#_x0000_t202" filled="false" stroked="false">
            <v:textbox inset="0,0,0,0" style="layout-flow:vertical;mso-layout-flow-alt:bottom-to-top">
              <w:txbxContent>
                <w:p>
                  <w:pPr>
                    <w:spacing w:before="19"/>
                    <w:ind w:left="20" w:right="0" w:firstLine="0"/>
                    <w:jc w:val="left"/>
                    <w:rPr>
                      <w:rFonts w:ascii="Arial"/>
                      <w:sz w:val="6"/>
                    </w:rPr>
                  </w:pPr>
                  <w:r>
                    <w:rPr>
                      <w:rFonts w:ascii="Arial"/>
                      <w:sz w:val="6"/>
                    </w:rPr>
                    <w:t>0.4</w:t>
                  </w:r>
                </w:p>
              </w:txbxContent>
            </v:textbox>
            <w10:wrap type="none"/>
          </v:shape>
        </w:pict>
      </w:r>
      <w:r>
        <w:rPr/>
        <w:pict>
          <v:shape style="position:absolute;margin-left:198.779831pt;margin-top:-59.104172pt;width:3.7pt;height:17.8pt;mso-position-horizontal-relative:page;mso-position-vertical-relative:paragraph;z-index:4144"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Cum survival</w:t>
                  </w:r>
                </w:p>
              </w:txbxContent>
            </v:textbox>
            <w10:wrap type="none"/>
          </v:shape>
        </w:pict>
      </w:r>
      <w:r>
        <w:rPr/>
        <w:pict>
          <v:shape style="position:absolute;margin-left:202.344986pt;margin-top:-25.994219pt;width:3.7pt;height:5.75pt;mso-position-horizontal-relative:page;mso-position-vertical-relative:paragraph;z-index:4192"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0.2</w:t>
                  </w:r>
                </w:p>
              </w:txbxContent>
            </v:textbox>
            <w10:wrap type="none"/>
          </v:shape>
        </w:pict>
      </w:r>
      <w:r>
        <w:rPr/>
        <w:pict>
          <v:shape style="position:absolute;margin-left:202.344986pt;margin-top:-43.97327pt;width:3.7pt;height:5.75pt;mso-position-horizontal-relative:page;mso-position-vertical-relative:paragraph;z-index:4216"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0.4</w:t>
                  </w:r>
                </w:p>
              </w:txbxContent>
            </v:textbox>
            <w10:wrap type="none"/>
          </v:shape>
        </w:pict>
      </w:r>
      <w:r>
        <w:rPr>
          <w:rFonts w:ascii="Arial"/>
          <w:sz w:val="6"/>
        </w:rPr>
        <w:t>0</w:t>
        <w:tab/>
        <w:t>500 1000 1500 2000 2500 3000</w:t>
      </w:r>
      <w:r>
        <w:rPr>
          <w:rFonts w:ascii="Arial"/>
          <w:spacing w:val="13"/>
          <w:sz w:val="6"/>
        </w:rPr>
        <w:t> </w:t>
      </w:r>
      <w:r>
        <w:rPr>
          <w:rFonts w:ascii="Arial"/>
          <w:sz w:val="6"/>
        </w:rPr>
        <w:t>3500</w:t>
      </w:r>
    </w:p>
    <w:p>
      <w:pPr>
        <w:pStyle w:val="BodyText"/>
        <w:ind w:left="0"/>
        <w:rPr>
          <w:rFonts w:ascii="Arial"/>
          <w:sz w:val="7"/>
        </w:rPr>
      </w:pPr>
    </w:p>
    <w:p>
      <w:pPr>
        <w:spacing w:before="0"/>
        <w:ind w:left="729" w:right="0" w:firstLine="0"/>
        <w:jc w:val="center"/>
        <w:rPr>
          <w:rFonts w:ascii="Arial"/>
          <w:sz w:val="6"/>
        </w:rPr>
      </w:pPr>
      <w:r>
        <w:rPr>
          <w:rFonts w:ascii="Arial"/>
          <w:sz w:val="6"/>
        </w:rPr>
        <w:t>time(days)</w:t>
      </w:r>
    </w:p>
    <w:p>
      <w:pPr>
        <w:pStyle w:val="BodyText"/>
        <w:ind w:left="0"/>
        <w:rPr>
          <w:rFonts w:ascii="Arial"/>
          <w:sz w:val="6"/>
        </w:rPr>
      </w:pPr>
      <w:r>
        <w:rPr/>
        <w:br w:type="column"/>
      </w:r>
      <w:r>
        <w:rPr>
          <w:rFonts w:ascii="Arial"/>
          <w:sz w:val="6"/>
        </w:rPr>
      </w:r>
    </w:p>
    <w:p>
      <w:pPr>
        <w:pStyle w:val="BodyText"/>
        <w:ind w:left="0"/>
        <w:rPr>
          <w:rFonts w:ascii="Arial"/>
          <w:sz w:val="6"/>
        </w:rPr>
      </w:pPr>
    </w:p>
    <w:p>
      <w:pPr>
        <w:pStyle w:val="BodyText"/>
        <w:ind w:left="0"/>
        <w:rPr>
          <w:rFonts w:ascii="Arial"/>
          <w:sz w:val="6"/>
        </w:rPr>
      </w:pPr>
    </w:p>
    <w:p>
      <w:pPr>
        <w:pStyle w:val="BodyText"/>
        <w:spacing w:before="6"/>
        <w:ind w:left="0"/>
        <w:rPr>
          <w:rFonts w:ascii="Arial"/>
          <w:sz w:val="5"/>
        </w:rPr>
      </w:pPr>
    </w:p>
    <w:p>
      <w:pPr>
        <w:tabs>
          <w:tab w:pos="752" w:val="left" w:leader="none"/>
          <w:tab w:pos="1036" w:val="left" w:leader="none"/>
          <w:tab w:pos="1327" w:val="left" w:leader="none"/>
          <w:tab w:pos="1619" w:val="left" w:leader="none"/>
          <w:tab w:pos="1912" w:val="left" w:leader="none"/>
          <w:tab w:pos="2205" w:val="left" w:leader="none"/>
          <w:tab w:pos="2496" w:val="left" w:leader="none"/>
        </w:tabs>
        <w:spacing w:before="0"/>
        <w:ind w:left="477" w:right="0" w:firstLine="0"/>
        <w:jc w:val="left"/>
        <w:rPr>
          <w:rFonts w:ascii="Arial"/>
          <w:sz w:val="5"/>
        </w:rPr>
      </w:pPr>
      <w:r>
        <w:rPr/>
        <w:pict>
          <v:shape style="position:absolute;margin-left:202.344986pt;margin-top:-10.272421pt;width:3.7pt;height:5.75pt;mso-position-horizontal-relative:page;mso-position-vertical-relative:paragraph;z-index:4168" type="#_x0000_t202" filled="false" stroked="false">
            <v:textbox inset="0,0,0,0" style="layout-flow:vertical;mso-layout-flow-alt:bottom-to-top">
              <w:txbxContent>
                <w:p>
                  <w:pPr>
                    <w:pStyle w:val="BodyText"/>
                    <w:ind w:left="0"/>
                    <w:rPr>
                      <w:sz w:val="2"/>
                    </w:rPr>
                  </w:pPr>
                </w:p>
                <w:p>
                  <w:pPr>
                    <w:spacing w:before="0"/>
                    <w:ind w:left="20" w:right="0" w:firstLine="0"/>
                    <w:jc w:val="left"/>
                    <w:rPr>
                      <w:rFonts w:ascii="Arial"/>
                      <w:sz w:val="3"/>
                    </w:rPr>
                  </w:pPr>
                  <w:r>
                    <w:rPr>
                      <w:rFonts w:ascii="Arial"/>
                      <w:w w:val="180"/>
                      <w:sz w:val="3"/>
                    </w:rPr>
                    <w:t>0.0</w:t>
                  </w:r>
                </w:p>
              </w:txbxContent>
            </v:textbox>
            <w10:wrap type="none"/>
          </v:shape>
        </w:pict>
      </w:r>
      <w:r>
        <w:rPr>
          <w:rFonts w:ascii="Arial"/>
          <w:w w:val="70"/>
          <w:sz w:val="5"/>
        </w:rPr>
        <w:t>0</w:t>
        <w:tab/>
        <w:t>500</w:t>
        <w:tab/>
        <w:t>1000</w:t>
        <w:tab/>
        <w:t>1500</w:t>
        <w:tab/>
        <w:t>2000</w:t>
        <w:tab/>
        <w:t>2500</w:t>
        <w:tab/>
        <w:t>3000</w:t>
        <w:tab/>
        <w:t>3500</w:t>
      </w:r>
    </w:p>
    <w:p>
      <w:pPr>
        <w:pStyle w:val="BodyText"/>
        <w:spacing w:before="7"/>
        <w:ind w:left="0"/>
        <w:rPr>
          <w:rFonts w:ascii="Arial"/>
          <w:sz w:val="6"/>
        </w:rPr>
      </w:pPr>
    </w:p>
    <w:p>
      <w:pPr>
        <w:spacing w:before="0"/>
        <w:ind w:left="1554" w:right="0" w:firstLine="0"/>
        <w:jc w:val="left"/>
        <w:rPr>
          <w:rFonts w:ascii="Arial"/>
          <w:sz w:val="5"/>
        </w:rPr>
      </w:pPr>
      <w:r>
        <w:rPr>
          <w:rFonts w:ascii="Arial"/>
          <w:w w:val="70"/>
          <w:sz w:val="5"/>
        </w:rPr>
        <w:t>time(days)</w:t>
      </w:r>
    </w:p>
    <w:p>
      <w:pPr>
        <w:spacing w:after="0"/>
        <w:jc w:val="left"/>
        <w:rPr>
          <w:rFonts w:ascii="Arial"/>
          <w:sz w:val="5"/>
        </w:rPr>
        <w:sectPr>
          <w:type w:val="continuous"/>
          <w:pgSz w:w="11910" w:h="16850"/>
          <w:pgMar w:top="1080" w:bottom="1020" w:left="1060" w:right="0"/>
          <w:cols w:num="2" w:equalWidth="0">
            <w:col w:w="2551" w:space="40"/>
            <w:col w:w="8259"/>
          </w:cols>
        </w:sectPr>
      </w:pPr>
    </w:p>
    <w:p>
      <w:pPr>
        <w:tabs>
          <w:tab w:pos="3654" w:val="left" w:leader="none"/>
        </w:tabs>
        <w:spacing w:before="123"/>
        <w:ind w:left="445" w:right="0" w:firstLine="0"/>
        <w:jc w:val="left"/>
        <w:rPr>
          <w:sz w:val="15"/>
        </w:rPr>
      </w:pPr>
      <w:r>
        <w:rPr>
          <w:spacing w:val="-3"/>
          <w:sz w:val="15"/>
        </w:rPr>
        <w:t>图</w:t>
      </w:r>
      <w:r>
        <w:rPr>
          <w:rFonts w:ascii="Times New Roman" w:eastAsia="Times New Roman"/>
          <w:sz w:val="15"/>
        </w:rPr>
        <w:t>1M </w:t>
      </w:r>
      <w:r>
        <w:rPr>
          <w:rFonts w:ascii="Times New Roman" w:eastAsia="Times New Roman"/>
          <w:spacing w:val="2"/>
          <w:sz w:val="15"/>
        </w:rPr>
        <w:t> </w:t>
      </w:r>
      <w:r>
        <w:rPr>
          <w:sz w:val="15"/>
        </w:rPr>
        <w:t>糖</w:t>
      </w:r>
      <w:r>
        <w:rPr>
          <w:spacing w:val="-3"/>
          <w:sz w:val="15"/>
        </w:rPr>
        <w:t>类</w:t>
      </w:r>
      <w:r>
        <w:rPr>
          <w:sz w:val="15"/>
        </w:rPr>
        <w:t>癌</w:t>
      </w:r>
      <w:r>
        <w:rPr>
          <w:spacing w:val="-3"/>
          <w:sz w:val="15"/>
        </w:rPr>
        <w:t>抗原</w:t>
      </w:r>
      <w:r>
        <w:rPr>
          <w:rFonts w:ascii="Times New Roman" w:eastAsia="Times New Roman"/>
          <w:sz w:val="15"/>
        </w:rPr>
        <w:t>125</w:t>
        <w:tab/>
      </w:r>
      <w:r>
        <w:rPr>
          <w:spacing w:val="-3"/>
          <w:sz w:val="15"/>
        </w:rPr>
        <w:t>图</w:t>
      </w:r>
      <w:r>
        <w:rPr>
          <w:rFonts w:ascii="Times New Roman" w:eastAsia="Times New Roman"/>
          <w:sz w:val="15"/>
        </w:rPr>
        <w:t>1N</w:t>
      </w:r>
      <w:r>
        <w:rPr>
          <w:rFonts w:ascii="Times New Roman" w:eastAsia="Times New Roman"/>
          <w:spacing w:val="35"/>
          <w:sz w:val="15"/>
        </w:rPr>
        <w:t> </w:t>
      </w:r>
      <w:r>
        <w:rPr>
          <w:sz w:val="15"/>
        </w:rPr>
        <w:t>细</w:t>
      </w:r>
      <w:r>
        <w:rPr>
          <w:spacing w:val="-3"/>
          <w:sz w:val="15"/>
        </w:rPr>
        <w:t>胞</w:t>
      </w:r>
      <w:r>
        <w:rPr>
          <w:sz w:val="15"/>
        </w:rPr>
        <w:t>角</w:t>
      </w:r>
      <w:r>
        <w:rPr>
          <w:spacing w:val="-3"/>
          <w:sz w:val="15"/>
        </w:rPr>
        <w:t>蛋</w:t>
      </w:r>
      <w:r>
        <w:rPr>
          <w:sz w:val="15"/>
        </w:rPr>
        <w:t>白</w:t>
      </w:r>
      <w:r>
        <w:rPr>
          <w:rFonts w:ascii="Times New Roman" w:eastAsia="Times New Roman"/>
          <w:sz w:val="15"/>
        </w:rPr>
        <w:t>-19</w:t>
      </w:r>
      <w:r>
        <w:rPr>
          <w:sz w:val="15"/>
        </w:rPr>
        <w:t>片断</w:t>
      </w:r>
      <w:r>
        <w:rPr>
          <w:spacing w:val="-3"/>
          <w:sz w:val="15"/>
        </w:rPr>
        <w:t>抗</w:t>
      </w:r>
      <w:r>
        <w:rPr>
          <w:sz w:val="15"/>
        </w:rPr>
        <w:t>原</w:t>
      </w:r>
    </w:p>
    <w:p>
      <w:pPr>
        <w:pStyle w:val="BodyText"/>
        <w:ind w:left="0"/>
        <w:rPr>
          <w:sz w:val="16"/>
        </w:rPr>
      </w:pPr>
    </w:p>
    <w:p>
      <w:pPr>
        <w:pStyle w:val="ListParagraph"/>
        <w:numPr>
          <w:ilvl w:val="1"/>
          <w:numId w:val="5"/>
        </w:numPr>
        <w:tabs>
          <w:tab w:pos="1178" w:val="left" w:leader="none"/>
          <w:tab w:pos="5137" w:val="left" w:leader="none"/>
        </w:tabs>
        <w:spacing w:line="295" w:lineRule="auto" w:before="107" w:after="0"/>
        <w:ind w:left="217" w:right="1130" w:firstLine="480"/>
        <w:jc w:val="left"/>
        <w:rPr>
          <w:sz w:val="24"/>
        </w:rPr>
      </w:pPr>
      <w:r>
        <w:rPr>
          <w:sz w:val="24"/>
        </w:rPr>
        <w:t>危险因素的COX回归及预测模型建立</w:t>
        <w:tab/>
        <w:t>单因素分析中P&lt;0.05的因素带入COX回归分析结果显示患者性别</w:t>
      </w:r>
      <w:r>
        <w:rPr>
          <w:spacing w:val="-22"/>
          <w:sz w:val="24"/>
        </w:rPr>
        <w:t>，</w:t>
      </w:r>
      <w:r>
        <w:rPr>
          <w:sz w:val="24"/>
        </w:rPr>
        <w:t>年龄</w:t>
      </w:r>
      <w:r>
        <w:rPr>
          <w:spacing w:val="-6"/>
          <w:sz w:val="24"/>
        </w:rPr>
        <w:t>，TNM</w:t>
      </w:r>
      <w:r>
        <w:rPr>
          <w:sz w:val="24"/>
        </w:rPr>
        <w:t>分析</w:t>
      </w:r>
      <w:r>
        <w:rPr>
          <w:spacing w:val="-6"/>
          <w:sz w:val="24"/>
        </w:rPr>
        <w:t>，KPS</w:t>
      </w:r>
      <w:r>
        <w:rPr>
          <w:sz w:val="24"/>
        </w:rPr>
        <w:t>评分</w:t>
      </w:r>
      <w:r>
        <w:rPr>
          <w:spacing w:val="-22"/>
          <w:sz w:val="24"/>
        </w:rPr>
        <w:t>，</w:t>
      </w:r>
      <w:r>
        <w:rPr>
          <w:sz w:val="24"/>
        </w:rPr>
        <w:t>肺切除手术</w:t>
      </w:r>
      <w:r>
        <w:rPr>
          <w:spacing w:val="-22"/>
          <w:sz w:val="24"/>
        </w:rPr>
        <w:t>，</w:t>
      </w:r>
      <w:r>
        <w:rPr>
          <w:sz w:val="24"/>
        </w:rPr>
        <w:t>及饮酒史为影响非小细胞</w:t>
      </w:r>
      <w:r>
        <w:rPr>
          <w:spacing w:val="-15"/>
          <w:sz w:val="24"/>
        </w:rPr>
        <w:t>肺</w:t>
      </w:r>
      <w:r>
        <w:rPr>
          <w:sz w:val="24"/>
        </w:rPr>
        <w:t>癌化疗后生存时间的独立预测因子，非小细胞肺癌患者生存风险函数模型表达式为:</w:t>
      </w:r>
    </w:p>
    <w:p>
      <w:pPr>
        <w:pStyle w:val="BodyText"/>
        <w:spacing w:line="295" w:lineRule="auto" w:before="5"/>
        <w:ind w:right="1131"/>
        <w:jc w:val="both"/>
      </w:pPr>
      <w:r>
        <w:rPr>
          <w:rFonts w:ascii="Times New Roman" w:eastAsia="Times New Roman"/>
        </w:rPr>
        <w:t>h(t)=h</w:t>
      </w:r>
      <w:r>
        <w:rPr>
          <w:rFonts w:ascii="Times New Roman" w:eastAsia="Times New Roman"/>
          <w:vertAlign w:val="subscript"/>
        </w:rPr>
        <w:t>0(t)</w:t>
      </w:r>
      <w:r>
        <w:rPr>
          <w:rFonts w:ascii="Times New Roman" w:eastAsia="Times New Roman"/>
          <w:vertAlign w:val="baseline"/>
        </w:rPr>
        <w:t>exp(1.276X</w:t>
      </w:r>
      <w:r>
        <w:rPr>
          <w:rFonts w:ascii="Times New Roman" w:eastAsia="Times New Roman"/>
          <w:vertAlign w:val="subscript"/>
        </w:rPr>
        <w:t>sex</w:t>
      </w:r>
      <w:r>
        <w:rPr>
          <w:rFonts w:ascii="Times New Roman" w:eastAsia="Times New Roman"/>
          <w:vertAlign w:val="baseline"/>
        </w:rPr>
        <w:t>+1.212X</w:t>
      </w:r>
      <w:r>
        <w:rPr>
          <w:rFonts w:ascii="Times New Roman" w:eastAsia="Times New Roman"/>
          <w:vertAlign w:val="subscript"/>
        </w:rPr>
        <w:t>age</w:t>
      </w:r>
      <w:r>
        <w:rPr>
          <w:rFonts w:ascii="Times New Roman" w:eastAsia="Times New Roman"/>
          <w:vertAlign w:val="baseline"/>
        </w:rPr>
        <w:t>+1.585X</w:t>
      </w:r>
      <w:r>
        <w:rPr>
          <w:rFonts w:ascii="Times New Roman" w:eastAsia="Times New Roman"/>
          <w:vertAlign w:val="subscript"/>
        </w:rPr>
        <w:t>TNM</w:t>
      </w:r>
      <w:r>
        <w:rPr>
          <w:rFonts w:ascii="Times New Roman" w:eastAsia="Times New Roman"/>
          <w:vertAlign w:val="baseline"/>
        </w:rPr>
        <w:t>+1.483X</w:t>
      </w:r>
      <w:r>
        <w:rPr>
          <w:rFonts w:ascii="Times New Roman" w:eastAsia="Times New Roman"/>
          <w:vertAlign w:val="subscript"/>
        </w:rPr>
        <w:t>KPS</w:t>
      </w:r>
      <w:r>
        <w:rPr>
          <w:rFonts w:ascii="Times New Roman" w:eastAsia="Times New Roman"/>
          <w:vertAlign w:val="baseline"/>
        </w:rPr>
        <w:t>+1.262X</w:t>
      </w:r>
      <w:r>
        <w:rPr>
          <w:rFonts w:ascii="Times New Roman" w:eastAsia="Times New Roman"/>
          <w:vertAlign w:val="subscript"/>
        </w:rPr>
        <w:t>drinking</w:t>
      </w:r>
      <w:r>
        <w:rPr>
          <w:rFonts w:ascii="Times New Roman" w:eastAsia="Times New Roman"/>
          <w:vertAlign w:val="baseline"/>
        </w:rPr>
        <w:t>+1.667X</w:t>
      </w:r>
      <w:r>
        <w:rPr>
          <w:rFonts w:ascii="Times New Roman" w:eastAsia="Times New Roman"/>
          <w:vertAlign w:val="subscript"/>
        </w:rPr>
        <w:t>surgery</w:t>
      </w:r>
      <w:r>
        <w:rPr>
          <w:rFonts w:ascii="Times New Roman" w:eastAsia="Times New Roman"/>
          <w:spacing w:val="11"/>
          <w:vertAlign w:val="baseline"/>
        </w:rPr>
        <w:t>) </w:t>
      </w:r>
      <w:r>
        <w:rPr>
          <w:vertAlign w:val="baseline"/>
        </w:rPr>
        <w:t>。该函数指数部分取值越大，则风险函数</w:t>
      </w:r>
      <w:r>
        <w:rPr>
          <w:rFonts w:ascii="Times New Roman" w:eastAsia="Times New Roman"/>
          <w:vertAlign w:val="baseline"/>
        </w:rPr>
        <w:t>h(t)</w:t>
      </w:r>
      <w:r>
        <w:rPr>
          <w:vertAlign w:val="baseline"/>
        </w:rPr>
        <w:t>越大，患者治疗效果欠佳，死亡风险越高。模型一致性系数为</w:t>
      </w:r>
      <w:r>
        <w:rPr>
          <w:rFonts w:ascii="Times New Roman" w:eastAsia="Times New Roman"/>
          <w:spacing w:val="-5"/>
          <w:vertAlign w:val="baseline"/>
        </w:rPr>
        <w:t>0.701</w:t>
      </w:r>
      <w:r>
        <w:rPr>
          <w:spacing w:val="-2"/>
          <w:vertAlign w:val="baseline"/>
        </w:rPr>
        <w:t>，标准误为</w:t>
      </w:r>
      <w:r>
        <w:rPr>
          <w:rFonts w:ascii="Times New Roman" w:eastAsia="Times New Roman"/>
          <w:spacing w:val="-5"/>
          <w:vertAlign w:val="baseline"/>
        </w:rPr>
        <w:t>0.012</w:t>
      </w:r>
      <w:r>
        <w:rPr>
          <w:spacing w:val="-5"/>
          <w:vertAlign w:val="baseline"/>
        </w:rPr>
        <w:t>，具有较好内部一致性，相应预后生存预测列线图见图</w:t>
      </w:r>
      <w:r>
        <w:rPr>
          <w:rFonts w:ascii="Times New Roman" w:eastAsia="Times New Roman"/>
          <w:vertAlign w:val="baseline"/>
        </w:rPr>
        <w:t>2</w:t>
      </w:r>
      <w:r>
        <w:rPr>
          <w:spacing w:val="-14"/>
          <w:vertAlign w:val="baseline"/>
        </w:rPr>
        <w:t>。由列</w:t>
      </w:r>
    </w:p>
    <w:p>
      <w:pPr>
        <w:pStyle w:val="BodyText"/>
        <w:spacing w:line="306" w:lineRule="exact" w:before="5"/>
        <w:jc w:val="both"/>
      </w:pPr>
      <w:r>
        <w:rPr/>
        <w:t>线图结果可知患者评分总分越高，患者生存概率越低。</w:t>
      </w:r>
    </w:p>
    <w:p>
      <w:pPr>
        <w:tabs>
          <w:tab w:pos="9823" w:val="left" w:leader="none"/>
        </w:tabs>
        <w:spacing w:line="294" w:lineRule="exact" w:before="0"/>
        <w:ind w:left="108" w:right="0" w:firstLine="0"/>
        <w:jc w:val="left"/>
        <w:rPr>
          <w:rFonts w:ascii="华文楷体" w:eastAsia="华文楷体" w:hint="eastAsia"/>
          <w:sz w:val="18"/>
        </w:rPr>
      </w:pPr>
      <w:r>
        <w:rPr>
          <w:rFonts w:ascii="Times New Roman" w:eastAsia="Times New Roman"/>
          <w:sz w:val="18"/>
          <w:u w:val="single"/>
        </w:rPr>
        <w:t> </w:t>
      </w:r>
      <w:r>
        <w:rPr>
          <w:rFonts w:ascii="Times New Roman" w:eastAsia="Times New Roman"/>
          <w:spacing w:val="18"/>
          <w:sz w:val="18"/>
          <w:u w:val="single"/>
        </w:rPr>
        <w:t> </w:t>
      </w:r>
      <w:r>
        <w:rPr>
          <w:rFonts w:ascii="华文楷体" w:eastAsia="华文楷体" w:hint="eastAsia"/>
          <w:sz w:val="18"/>
          <w:u w:val="single"/>
        </w:rPr>
        <w:t>表2  </w:t>
      </w:r>
      <w:r>
        <w:rPr>
          <w:rFonts w:ascii="华文楷体" w:eastAsia="华文楷体" w:hint="eastAsia"/>
          <w:spacing w:val="43"/>
          <w:sz w:val="18"/>
          <w:u w:val="single"/>
        </w:rPr>
        <w:t> </w:t>
      </w:r>
      <w:r>
        <w:rPr>
          <w:rFonts w:ascii="华文楷体" w:eastAsia="华文楷体" w:hint="eastAsia"/>
          <w:sz w:val="18"/>
          <w:u w:val="single"/>
        </w:rPr>
        <w:t>COX回归分析预后因子</w:t>
        <w:tab/>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5"/>
        <w:gridCol w:w="3062"/>
        <w:gridCol w:w="2908"/>
      </w:tblGrid>
      <w:tr>
        <w:trPr>
          <w:trHeight w:val="208" w:hRule="atLeast"/>
        </w:trPr>
        <w:tc>
          <w:tcPr>
            <w:tcW w:w="3745" w:type="dxa"/>
            <w:tcBorders>
              <w:bottom w:val="single" w:sz="4" w:space="0" w:color="000000"/>
            </w:tcBorders>
          </w:tcPr>
          <w:p>
            <w:pPr>
              <w:pStyle w:val="TableParagraph"/>
              <w:spacing w:line="188" w:lineRule="exact"/>
              <w:ind w:left="108"/>
              <w:rPr>
                <w:rFonts w:ascii="宋体" w:eastAsia="宋体" w:hint="eastAsia"/>
                <w:sz w:val="18"/>
              </w:rPr>
            </w:pPr>
            <w:r>
              <w:rPr>
                <w:rFonts w:ascii="宋体" w:eastAsia="宋体" w:hint="eastAsia"/>
                <w:sz w:val="18"/>
              </w:rPr>
              <w:t>因素</w:t>
            </w:r>
          </w:p>
        </w:tc>
        <w:tc>
          <w:tcPr>
            <w:tcW w:w="3062" w:type="dxa"/>
            <w:tcBorders>
              <w:bottom w:val="single" w:sz="4" w:space="0" w:color="000000"/>
            </w:tcBorders>
          </w:tcPr>
          <w:p>
            <w:pPr>
              <w:pStyle w:val="TableParagraph"/>
              <w:spacing w:line="188" w:lineRule="exact"/>
              <w:ind w:left="621"/>
              <w:rPr>
                <w:rFonts w:ascii="宋体" w:eastAsia="宋体" w:hint="eastAsia"/>
                <w:sz w:val="18"/>
              </w:rPr>
            </w:pPr>
            <w:r>
              <w:rPr>
                <w:sz w:val="18"/>
              </w:rPr>
              <w:t>HR(95%CI</w:t>
            </w:r>
            <w:r>
              <w:rPr>
                <w:rFonts w:ascii="宋体" w:eastAsia="宋体" w:hint="eastAsia"/>
                <w:sz w:val="18"/>
              </w:rPr>
              <w:t>）</w:t>
            </w:r>
          </w:p>
        </w:tc>
        <w:tc>
          <w:tcPr>
            <w:tcW w:w="2908" w:type="dxa"/>
            <w:tcBorders>
              <w:bottom w:val="single" w:sz="4" w:space="0" w:color="000000"/>
            </w:tcBorders>
          </w:tcPr>
          <w:p>
            <w:pPr>
              <w:pStyle w:val="TableParagraph"/>
              <w:spacing w:line="188" w:lineRule="exact"/>
              <w:ind w:left="1439"/>
              <w:rPr>
                <w:i/>
                <w:sz w:val="18"/>
              </w:rPr>
            </w:pPr>
            <w:r>
              <w:rPr>
                <w:i/>
                <w:sz w:val="18"/>
              </w:rPr>
              <w:t>P</w:t>
            </w:r>
          </w:p>
        </w:tc>
      </w:tr>
      <w:tr>
        <w:trPr>
          <w:trHeight w:val="260" w:hRule="atLeast"/>
        </w:trPr>
        <w:tc>
          <w:tcPr>
            <w:tcW w:w="3745" w:type="dxa"/>
            <w:tcBorders>
              <w:top w:val="single" w:sz="4" w:space="0" w:color="000000"/>
            </w:tcBorders>
          </w:tcPr>
          <w:p>
            <w:pPr>
              <w:pStyle w:val="TableParagraph"/>
              <w:spacing w:before="8"/>
              <w:ind w:left="108"/>
              <w:rPr>
                <w:rFonts w:ascii="宋体" w:eastAsia="宋体" w:hint="eastAsia"/>
                <w:sz w:val="18"/>
              </w:rPr>
            </w:pPr>
            <w:r>
              <w:rPr>
                <w:rFonts w:ascii="宋体" w:eastAsia="宋体" w:hint="eastAsia"/>
                <w:sz w:val="18"/>
              </w:rPr>
              <w:t>性别（女</w:t>
            </w:r>
            <w:r>
              <w:rPr>
                <w:sz w:val="18"/>
              </w:rPr>
              <w:t>:X</w:t>
            </w:r>
            <w:r>
              <w:rPr>
                <w:sz w:val="18"/>
                <w:vertAlign w:val="subscript"/>
              </w:rPr>
              <w:t>sex</w:t>
            </w:r>
            <w:r>
              <w:rPr>
                <w:sz w:val="18"/>
                <w:vertAlign w:val="baseline"/>
              </w:rPr>
              <w:t>=0</w:t>
            </w:r>
            <w:r>
              <w:rPr>
                <w:rFonts w:ascii="宋体" w:eastAsia="宋体" w:hint="eastAsia"/>
                <w:sz w:val="18"/>
                <w:vertAlign w:val="baseline"/>
              </w:rPr>
              <w:t>）</w:t>
            </w:r>
          </w:p>
        </w:tc>
        <w:tc>
          <w:tcPr>
            <w:tcW w:w="3062" w:type="dxa"/>
            <w:tcBorders>
              <w:top w:val="single" w:sz="4" w:space="0" w:color="000000"/>
            </w:tcBorders>
          </w:tcPr>
          <w:p>
            <w:pPr>
              <w:pStyle w:val="TableParagraph"/>
              <w:spacing w:before="20"/>
              <w:ind w:left="621"/>
              <w:rPr>
                <w:sz w:val="18"/>
              </w:rPr>
            </w:pPr>
            <w:r>
              <w:rPr>
                <w:sz w:val="18"/>
              </w:rPr>
              <w:t>1</w:t>
            </w:r>
          </w:p>
        </w:tc>
        <w:tc>
          <w:tcPr>
            <w:tcW w:w="2908" w:type="dxa"/>
            <w:tcBorders>
              <w:top w:val="single" w:sz="4" w:space="0" w:color="000000"/>
            </w:tcBorders>
          </w:tcPr>
          <w:p>
            <w:pPr>
              <w:pStyle w:val="TableParagraph"/>
              <w:spacing w:before="20"/>
              <w:ind w:left="1439"/>
              <w:rPr>
                <w:sz w:val="18"/>
              </w:rPr>
            </w:pPr>
            <w:r>
              <w:rPr>
                <w:sz w:val="18"/>
              </w:rPr>
              <w:t>P&lt;0.05</w:t>
            </w:r>
          </w:p>
        </w:tc>
      </w:tr>
      <w:tr>
        <w:trPr>
          <w:trHeight w:val="240" w:hRule="atLeast"/>
        </w:trPr>
        <w:tc>
          <w:tcPr>
            <w:tcW w:w="3745" w:type="dxa"/>
          </w:tcPr>
          <w:p>
            <w:pPr>
              <w:pStyle w:val="TableParagraph"/>
              <w:spacing w:line="219" w:lineRule="exact"/>
              <w:ind w:left="108"/>
              <w:rPr>
                <w:sz w:val="18"/>
              </w:rPr>
            </w:pPr>
            <w:r>
              <w:rPr>
                <w:rFonts w:ascii="宋体" w:eastAsia="宋体" w:hint="eastAsia"/>
                <w:sz w:val="18"/>
              </w:rPr>
              <w:t>性别（男</w:t>
            </w:r>
            <w:r>
              <w:rPr>
                <w:sz w:val="18"/>
              </w:rPr>
              <w:t>:X</w:t>
            </w:r>
            <w:r>
              <w:rPr>
                <w:sz w:val="18"/>
                <w:vertAlign w:val="subscript"/>
              </w:rPr>
              <w:t>sex</w:t>
            </w:r>
            <w:r>
              <w:rPr>
                <w:sz w:val="18"/>
                <w:vertAlign w:val="baseline"/>
              </w:rPr>
              <w:t>=1)</w:t>
            </w:r>
          </w:p>
        </w:tc>
        <w:tc>
          <w:tcPr>
            <w:tcW w:w="3062" w:type="dxa"/>
          </w:tcPr>
          <w:p>
            <w:pPr>
              <w:pStyle w:val="TableParagraph"/>
              <w:spacing w:line="219" w:lineRule="exact"/>
              <w:ind w:left="621"/>
              <w:rPr>
                <w:rFonts w:ascii="宋体" w:eastAsia="宋体" w:hint="eastAsia"/>
                <w:sz w:val="18"/>
              </w:rPr>
            </w:pPr>
            <w:r>
              <w:rPr>
                <w:sz w:val="18"/>
              </w:rPr>
              <w:t>1.276(1.025</w:t>
            </w:r>
            <w:r>
              <w:rPr>
                <w:rFonts w:ascii="宋体" w:eastAsia="宋体" w:hint="eastAsia"/>
                <w:sz w:val="18"/>
              </w:rPr>
              <w:t>～</w:t>
            </w:r>
            <w:r>
              <w:rPr>
                <w:sz w:val="18"/>
              </w:rPr>
              <w:t>1.589</w:t>
            </w:r>
            <w:r>
              <w:rPr>
                <w:rFonts w:ascii="宋体" w:eastAsia="宋体" w:hint="eastAsia"/>
                <w:sz w:val="18"/>
              </w:rPr>
              <w:t>）</w:t>
            </w:r>
          </w:p>
        </w:tc>
        <w:tc>
          <w:tcPr>
            <w:tcW w:w="2908" w:type="dxa"/>
          </w:tcPr>
          <w:p>
            <w:pPr>
              <w:pStyle w:val="TableParagraph"/>
              <w:rPr>
                <w:sz w:val="16"/>
              </w:rPr>
            </w:pPr>
          </w:p>
        </w:tc>
      </w:tr>
      <w:tr>
        <w:trPr>
          <w:trHeight w:val="240" w:hRule="atLeast"/>
        </w:trPr>
        <w:tc>
          <w:tcPr>
            <w:tcW w:w="3745" w:type="dxa"/>
          </w:tcPr>
          <w:p>
            <w:pPr>
              <w:pStyle w:val="TableParagraph"/>
              <w:spacing w:line="218" w:lineRule="exact"/>
              <w:ind w:left="108"/>
              <w:rPr>
                <w:rFonts w:ascii="宋体" w:eastAsia="宋体" w:hint="eastAsia"/>
                <w:sz w:val="18"/>
              </w:rPr>
            </w:pPr>
            <w:r>
              <w:rPr>
                <w:rFonts w:ascii="宋体" w:eastAsia="宋体" w:hint="eastAsia"/>
                <w:sz w:val="18"/>
              </w:rPr>
              <w:t>年龄（</w:t>
            </w:r>
            <w:r>
              <w:rPr>
                <w:sz w:val="18"/>
              </w:rPr>
              <w:t>&lt;65:X</w:t>
            </w:r>
            <w:r>
              <w:rPr>
                <w:sz w:val="18"/>
                <w:vertAlign w:val="subscript"/>
              </w:rPr>
              <w:t>age</w:t>
            </w:r>
            <w:r>
              <w:rPr>
                <w:sz w:val="18"/>
                <w:vertAlign w:val="baseline"/>
              </w:rPr>
              <w:t>=0</w:t>
            </w:r>
            <w:r>
              <w:rPr>
                <w:rFonts w:ascii="宋体" w:eastAsia="宋体" w:hint="eastAsia"/>
                <w:sz w:val="18"/>
                <w:vertAlign w:val="baseline"/>
              </w:rPr>
              <w:t>）</w:t>
            </w:r>
          </w:p>
        </w:tc>
        <w:tc>
          <w:tcPr>
            <w:tcW w:w="3062" w:type="dxa"/>
          </w:tcPr>
          <w:p>
            <w:pPr>
              <w:pStyle w:val="TableParagraph"/>
              <w:spacing w:line="207" w:lineRule="exact"/>
              <w:ind w:left="621"/>
              <w:rPr>
                <w:sz w:val="18"/>
              </w:rPr>
            </w:pPr>
            <w:r>
              <w:rPr>
                <w:sz w:val="18"/>
              </w:rPr>
              <w:t>1</w:t>
            </w:r>
          </w:p>
        </w:tc>
        <w:tc>
          <w:tcPr>
            <w:tcW w:w="2908" w:type="dxa"/>
          </w:tcPr>
          <w:p>
            <w:pPr>
              <w:pStyle w:val="TableParagraph"/>
              <w:spacing w:line="207" w:lineRule="exact"/>
              <w:ind w:left="1439"/>
              <w:rPr>
                <w:sz w:val="18"/>
              </w:rPr>
            </w:pPr>
            <w:r>
              <w:rPr>
                <w:sz w:val="18"/>
              </w:rPr>
              <w:t>P&lt;0.05</w:t>
            </w:r>
          </w:p>
        </w:tc>
      </w:tr>
      <w:tr>
        <w:trPr>
          <w:trHeight w:val="240" w:hRule="atLeast"/>
        </w:trPr>
        <w:tc>
          <w:tcPr>
            <w:tcW w:w="3745" w:type="dxa"/>
          </w:tcPr>
          <w:p>
            <w:pPr>
              <w:pStyle w:val="TableParagraph"/>
              <w:spacing w:line="218" w:lineRule="exact"/>
              <w:ind w:left="108"/>
              <w:rPr>
                <w:rFonts w:ascii="宋体" w:hAnsi="宋体" w:eastAsia="宋体" w:hint="eastAsia"/>
                <w:sz w:val="18"/>
              </w:rPr>
            </w:pPr>
            <w:r>
              <w:rPr>
                <w:rFonts w:ascii="宋体" w:hAnsi="宋体" w:eastAsia="宋体" w:hint="eastAsia"/>
                <w:sz w:val="18"/>
              </w:rPr>
              <w:t>年龄（≥</w:t>
            </w:r>
            <w:r>
              <w:rPr>
                <w:sz w:val="18"/>
              </w:rPr>
              <w:t>65:X</w:t>
            </w:r>
            <w:r>
              <w:rPr>
                <w:sz w:val="18"/>
                <w:vertAlign w:val="subscript"/>
              </w:rPr>
              <w:t>age</w:t>
            </w:r>
            <w:r>
              <w:rPr>
                <w:sz w:val="18"/>
                <w:vertAlign w:val="baseline"/>
              </w:rPr>
              <w:t>=1</w:t>
            </w:r>
            <w:r>
              <w:rPr>
                <w:rFonts w:ascii="宋体" w:hAnsi="宋体" w:eastAsia="宋体" w:hint="eastAsia"/>
                <w:sz w:val="18"/>
                <w:vertAlign w:val="baseline"/>
              </w:rPr>
              <w:t>）</w:t>
            </w:r>
          </w:p>
        </w:tc>
        <w:tc>
          <w:tcPr>
            <w:tcW w:w="3062" w:type="dxa"/>
          </w:tcPr>
          <w:p>
            <w:pPr>
              <w:pStyle w:val="TableParagraph"/>
              <w:spacing w:line="218" w:lineRule="exact"/>
              <w:ind w:left="621"/>
              <w:rPr>
                <w:rFonts w:ascii="宋体" w:eastAsia="宋体" w:hint="eastAsia"/>
                <w:sz w:val="18"/>
              </w:rPr>
            </w:pPr>
            <w:r>
              <w:rPr>
                <w:sz w:val="18"/>
              </w:rPr>
              <w:t>1.212</w:t>
            </w:r>
            <w:r>
              <w:rPr>
                <w:rFonts w:ascii="宋体" w:eastAsia="宋体" w:hint="eastAsia"/>
                <w:sz w:val="18"/>
              </w:rPr>
              <w:t>（</w:t>
            </w:r>
            <w:r>
              <w:rPr>
                <w:sz w:val="18"/>
              </w:rPr>
              <w:t>1.033</w:t>
            </w:r>
            <w:r>
              <w:rPr>
                <w:rFonts w:ascii="宋体" w:eastAsia="宋体" w:hint="eastAsia"/>
                <w:sz w:val="18"/>
              </w:rPr>
              <w:t>～</w:t>
            </w:r>
            <w:r>
              <w:rPr>
                <w:sz w:val="18"/>
              </w:rPr>
              <w:t>1.423</w:t>
            </w:r>
            <w:r>
              <w:rPr>
                <w:rFonts w:ascii="宋体" w:eastAsia="宋体" w:hint="eastAsia"/>
                <w:sz w:val="18"/>
              </w:rPr>
              <w:t>）</w:t>
            </w:r>
          </w:p>
        </w:tc>
        <w:tc>
          <w:tcPr>
            <w:tcW w:w="2908" w:type="dxa"/>
          </w:tcPr>
          <w:p>
            <w:pPr>
              <w:pStyle w:val="TableParagraph"/>
              <w:rPr>
                <w:sz w:val="16"/>
              </w:rPr>
            </w:pPr>
          </w:p>
        </w:tc>
      </w:tr>
      <w:tr>
        <w:trPr>
          <w:trHeight w:val="240" w:hRule="atLeast"/>
        </w:trPr>
        <w:tc>
          <w:tcPr>
            <w:tcW w:w="3745" w:type="dxa"/>
          </w:tcPr>
          <w:p>
            <w:pPr>
              <w:pStyle w:val="TableParagraph"/>
              <w:spacing w:line="207" w:lineRule="exact"/>
              <w:ind w:left="108"/>
              <w:rPr>
                <w:sz w:val="18"/>
              </w:rPr>
            </w:pPr>
            <w:r>
              <w:rPr>
                <w:sz w:val="18"/>
              </w:rPr>
              <w:t>TNM(I:X</w:t>
            </w:r>
            <w:r>
              <w:rPr>
                <w:sz w:val="18"/>
                <w:vertAlign w:val="subscript"/>
              </w:rPr>
              <w:t>TNM</w:t>
            </w:r>
            <w:r>
              <w:rPr>
                <w:sz w:val="18"/>
                <w:vertAlign w:val="baseline"/>
              </w:rPr>
              <w:t>=0)</w:t>
            </w:r>
          </w:p>
        </w:tc>
        <w:tc>
          <w:tcPr>
            <w:tcW w:w="3062" w:type="dxa"/>
          </w:tcPr>
          <w:p>
            <w:pPr>
              <w:pStyle w:val="TableParagraph"/>
              <w:spacing w:line="207" w:lineRule="exact"/>
              <w:ind w:left="621"/>
              <w:rPr>
                <w:sz w:val="18"/>
              </w:rPr>
            </w:pPr>
            <w:r>
              <w:rPr>
                <w:sz w:val="18"/>
              </w:rPr>
              <w:t>1</w:t>
            </w:r>
          </w:p>
        </w:tc>
        <w:tc>
          <w:tcPr>
            <w:tcW w:w="2908" w:type="dxa"/>
          </w:tcPr>
          <w:p>
            <w:pPr>
              <w:pStyle w:val="TableParagraph"/>
              <w:spacing w:line="207" w:lineRule="exact"/>
              <w:ind w:left="1439"/>
              <w:rPr>
                <w:sz w:val="18"/>
              </w:rPr>
            </w:pPr>
            <w:r>
              <w:rPr>
                <w:sz w:val="18"/>
              </w:rPr>
              <w:t>P&lt;0.05</w:t>
            </w:r>
          </w:p>
        </w:tc>
      </w:tr>
      <w:tr>
        <w:trPr>
          <w:trHeight w:val="240" w:hRule="atLeast"/>
        </w:trPr>
        <w:tc>
          <w:tcPr>
            <w:tcW w:w="3745" w:type="dxa"/>
          </w:tcPr>
          <w:p>
            <w:pPr>
              <w:pStyle w:val="TableParagraph"/>
              <w:spacing w:line="207" w:lineRule="exact"/>
              <w:ind w:left="108"/>
              <w:rPr>
                <w:sz w:val="18"/>
              </w:rPr>
            </w:pPr>
            <w:r>
              <w:rPr>
                <w:sz w:val="18"/>
              </w:rPr>
              <w:t>TNM(II:X</w:t>
            </w:r>
            <w:r>
              <w:rPr>
                <w:sz w:val="18"/>
                <w:vertAlign w:val="subscript"/>
              </w:rPr>
              <w:t>TNM</w:t>
            </w:r>
            <w:r>
              <w:rPr>
                <w:sz w:val="18"/>
                <w:vertAlign w:val="baseline"/>
              </w:rPr>
              <w:t>=1,III:X</w:t>
            </w:r>
            <w:r>
              <w:rPr>
                <w:sz w:val="18"/>
                <w:vertAlign w:val="subscript"/>
              </w:rPr>
              <w:t>TNM</w:t>
            </w:r>
            <w:r>
              <w:rPr>
                <w:sz w:val="18"/>
                <w:vertAlign w:val="baseline"/>
              </w:rPr>
              <w:t>=2,IV:X</w:t>
            </w:r>
            <w:r>
              <w:rPr>
                <w:sz w:val="18"/>
                <w:vertAlign w:val="subscript"/>
              </w:rPr>
              <w:t>TNM</w:t>
            </w:r>
            <w:r>
              <w:rPr>
                <w:sz w:val="18"/>
                <w:vertAlign w:val="baseline"/>
              </w:rPr>
              <w:t>=3)</w:t>
            </w:r>
          </w:p>
        </w:tc>
        <w:tc>
          <w:tcPr>
            <w:tcW w:w="3062" w:type="dxa"/>
          </w:tcPr>
          <w:p>
            <w:pPr>
              <w:pStyle w:val="TableParagraph"/>
              <w:spacing w:line="218" w:lineRule="exact"/>
              <w:ind w:left="621"/>
              <w:rPr>
                <w:sz w:val="18"/>
              </w:rPr>
            </w:pPr>
            <w:r>
              <w:rPr>
                <w:sz w:val="18"/>
              </w:rPr>
              <w:t>1.585(1.439</w:t>
            </w:r>
            <w:r>
              <w:rPr>
                <w:rFonts w:ascii="宋体" w:eastAsia="宋体" w:hint="eastAsia"/>
                <w:sz w:val="18"/>
              </w:rPr>
              <w:t>～</w:t>
            </w:r>
            <w:r>
              <w:rPr>
                <w:sz w:val="18"/>
              </w:rPr>
              <w:t>1.746)</w:t>
            </w:r>
          </w:p>
        </w:tc>
        <w:tc>
          <w:tcPr>
            <w:tcW w:w="2908" w:type="dxa"/>
          </w:tcPr>
          <w:p>
            <w:pPr>
              <w:pStyle w:val="TableParagraph"/>
              <w:rPr>
                <w:sz w:val="16"/>
              </w:rPr>
            </w:pPr>
          </w:p>
        </w:tc>
      </w:tr>
      <w:tr>
        <w:trPr>
          <w:trHeight w:val="240" w:hRule="atLeast"/>
        </w:trPr>
        <w:tc>
          <w:tcPr>
            <w:tcW w:w="3745" w:type="dxa"/>
          </w:tcPr>
          <w:p>
            <w:pPr>
              <w:pStyle w:val="TableParagraph"/>
              <w:spacing w:line="207" w:lineRule="exact"/>
              <w:ind w:left="108"/>
              <w:rPr>
                <w:sz w:val="18"/>
              </w:rPr>
            </w:pPr>
            <w:r>
              <w:rPr>
                <w:sz w:val="18"/>
              </w:rPr>
              <w:t>KPS(&gt;80:X</w:t>
            </w:r>
            <w:r>
              <w:rPr>
                <w:sz w:val="18"/>
                <w:vertAlign w:val="subscript"/>
              </w:rPr>
              <w:t>KPS</w:t>
            </w:r>
            <w:r>
              <w:rPr>
                <w:sz w:val="18"/>
                <w:vertAlign w:val="baseline"/>
              </w:rPr>
              <w:t>=0)</w:t>
            </w:r>
          </w:p>
        </w:tc>
        <w:tc>
          <w:tcPr>
            <w:tcW w:w="3062" w:type="dxa"/>
          </w:tcPr>
          <w:p>
            <w:pPr>
              <w:pStyle w:val="TableParagraph"/>
              <w:spacing w:line="207" w:lineRule="exact"/>
              <w:ind w:left="621"/>
              <w:rPr>
                <w:sz w:val="18"/>
              </w:rPr>
            </w:pPr>
            <w:r>
              <w:rPr>
                <w:sz w:val="18"/>
              </w:rPr>
              <w:t>1</w:t>
            </w:r>
          </w:p>
        </w:tc>
        <w:tc>
          <w:tcPr>
            <w:tcW w:w="2908" w:type="dxa"/>
          </w:tcPr>
          <w:p>
            <w:pPr>
              <w:pStyle w:val="TableParagraph"/>
              <w:spacing w:line="207" w:lineRule="exact"/>
              <w:ind w:left="1439"/>
              <w:rPr>
                <w:sz w:val="18"/>
              </w:rPr>
            </w:pPr>
            <w:r>
              <w:rPr>
                <w:sz w:val="18"/>
              </w:rPr>
              <w:t>P&lt;0.05</w:t>
            </w:r>
          </w:p>
        </w:tc>
      </w:tr>
      <w:tr>
        <w:trPr>
          <w:trHeight w:val="240" w:hRule="atLeast"/>
        </w:trPr>
        <w:tc>
          <w:tcPr>
            <w:tcW w:w="3745" w:type="dxa"/>
          </w:tcPr>
          <w:p>
            <w:pPr>
              <w:pStyle w:val="TableParagraph"/>
              <w:spacing w:line="218" w:lineRule="exact"/>
              <w:ind w:left="108"/>
              <w:rPr>
                <w:sz w:val="18"/>
              </w:rPr>
            </w:pPr>
            <w:r>
              <w:rPr>
                <w:sz w:val="18"/>
              </w:rPr>
              <w:t>KPS(</w:t>
            </w:r>
            <w:r>
              <w:rPr>
                <w:rFonts w:ascii="宋体" w:hAnsi="宋体"/>
                <w:sz w:val="18"/>
              </w:rPr>
              <w:t>≤</w:t>
            </w:r>
            <w:r>
              <w:rPr>
                <w:sz w:val="18"/>
              </w:rPr>
              <w:t>80:X</w:t>
            </w:r>
            <w:r>
              <w:rPr>
                <w:sz w:val="18"/>
                <w:vertAlign w:val="subscript"/>
              </w:rPr>
              <w:t>KPS</w:t>
            </w:r>
            <w:r>
              <w:rPr>
                <w:sz w:val="18"/>
                <w:vertAlign w:val="baseline"/>
              </w:rPr>
              <w:t>=1)</w:t>
            </w:r>
          </w:p>
        </w:tc>
        <w:tc>
          <w:tcPr>
            <w:tcW w:w="3062" w:type="dxa"/>
          </w:tcPr>
          <w:p>
            <w:pPr>
              <w:pStyle w:val="TableParagraph"/>
              <w:spacing w:line="218" w:lineRule="exact"/>
              <w:ind w:left="621"/>
              <w:rPr>
                <w:sz w:val="18"/>
              </w:rPr>
            </w:pPr>
            <w:r>
              <w:rPr>
                <w:sz w:val="18"/>
              </w:rPr>
              <w:t>1.483(1.263</w:t>
            </w:r>
            <w:r>
              <w:rPr>
                <w:rFonts w:ascii="宋体" w:eastAsia="宋体" w:hint="eastAsia"/>
                <w:sz w:val="18"/>
              </w:rPr>
              <w:t>～</w:t>
            </w:r>
            <w:r>
              <w:rPr>
                <w:sz w:val="18"/>
              </w:rPr>
              <w:t>1.741)</w:t>
            </w:r>
          </w:p>
        </w:tc>
        <w:tc>
          <w:tcPr>
            <w:tcW w:w="2908" w:type="dxa"/>
          </w:tcPr>
          <w:p>
            <w:pPr>
              <w:pStyle w:val="TableParagraph"/>
              <w:rPr>
                <w:sz w:val="16"/>
              </w:rPr>
            </w:pPr>
          </w:p>
        </w:tc>
      </w:tr>
      <w:tr>
        <w:trPr>
          <w:trHeight w:val="240" w:hRule="atLeast"/>
        </w:trPr>
        <w:tc>
          <w:tcPr>
            <w:tcW w:w="3745" w:type="dxa"/>
          </w:tcPr>
          <w:p>
            <w:pPr>
              <w:pStyle w:val="TableParagraph"/>
              <w:spacing w:line="218" w:lineRule="exact"/>
              <w:ind w:left="108"/>
              <w:rPr>
                <w:sz w:val="18"/>
              </w:rPr>
            </w:pPr>
            <w:r>
              <w:rPr>
                <w:rFonts w:ascii="宋体" w:eastAsia="宋体" w:hint="eastAsia"/>
                <w:sz w:val="18"/>
              </w:rPr>
              <w:t>饮酒史</w:t>
            </w:r>
            <w:r>
              <w:rPr>
                <w:sz w:val="18"/>
              </w:rPr>
              <w:t>(</w:t>
            </w:r>
            <w:r>
              <w:rPr>
                <w:rFonts w:ascii="宋体" w:eastAsia="宋体" w:hint="eastAsia"/>
                <w:sz w:val="18"/>
              </w:rPr>
              <w:t>无</w:t>
            </w:r>
            <w:r>
              <w:rPr>
                <w:sz w:val="18"/>
              </w:rPr>
              <w:t>:X</w:t>
            </w:r>
            <w:r>
              <w:rPr>
                <w:sz w:val="18"/>
                <w:vertAlign w:val="subscript"/>
              </w:rPr>
              <w:t>drinking</w:t>
            </w:r>
            <w:r>
              <w:rPr>
                <w:sz w:val="18"/>
                <w:vertAlign w:val="baseline"/>
              </w:rPr>
              <w:t>=0)</w:t>
            </w:r>
          </w:p>
        </w:tc>
        <w:tc>
          <w:tcPr>
            <w:tcW w:w="3062" w:type="dxa"/>
          </w:tcPr>
          <w:p>
            <w:pPr>
              <w:pStyle w:val="TableParagraph"/>
              <w:spacing w:line="207" w:lineRule="exact"/>
              <w:ind w:left="621"/>
              <w:rPr>
                <w:sz w:val="18"/>
              </w:rPr>
            </w:pPr>
            <w:r>
              <w:rPr>
                <w:sz w:val="18"/>
              </w:rPr>
              <w:t>1</w:t>
            </w:r>
          </w:p>
        </w:tc>
        <w:tc>
          <w:tcPr>
            <w:tcW w:w="2908" w:type="dxa"/>
          </w:tcPr>
          <w:p>
            <w:pPr>
              <w:pStyle w:val="TableParagraph"/>
              <w:spacing w:line="207" w:lineRule="exact"/>
              <w:ind w:left="1439"/>
              <w:rPr>
                <w:sz w:val="18"/>
              </w:rPr>
            </w:pPr>
            <w:r>
              <w:rPr>
                <w:sz w:val="18"/>
              </w:rPr>
              <w:t>P&lt;0.05</w:t>
            </w:r>
          </w:p>
        </w:tc>
      </w:tr>
      <w:tr>
        <w:trPr>
          <w:trHeight w:val="240" w:hRule="atLeast"/>
        </w:trPr>
        <w:tc>
          <w:tcPr>
            <w:tcW w:w="3745" w:type="dxa"/>
          </w:tcPr>
          <w:p>
            <w:pPr>
              <w:pStyle w:val="TableParagraph"/>
              <w:spacing w:line="218" w:lineRule="exact"/>
              <w:ind w:left="108"/>
              <w:rPr>
                <w:sz w:val="18"/>
              </w:rPr>
            </w:pPr>
            <w:r>
              <w:rPr>
                <w:rFonts w:ascii="宋体" w:eastAsia="宋体" w:hint="eastAsia"/>
                <w:sz w:val="18"/>
              </w:rPr>
              <w:t>饮酒史</w:t>
            </w:r>
            <w:r>
              <w:rPr>
                <w:sz w:val="18"/>
              </w:rPr>
              <w:t>(</w:t>
            </w:r>
            <w:r>
              <w:rPr>
                <w:rFonts w:ascii="宋体" w:eastAsia="宋体" w:hint="eastAsia"/>
                <w:sz w:val="18"/>
              </w:rPr>
              <w:t>有</w:t>
            </w:r>
            <w:r>
              <w:rPr>
                <w:sz w:val="18"/>
              </w:rPr>
              <w:t>:X</w:t>
            </w:r>
            <w:r>
              <w:rPr>
                <w:sz w:val="18"/>
                <w:vertAlign w:val="subscript"/>
              </w:rPr>
              <w:t>drinking</w:t>
            </w:r>
            <w:r>
              <w:rPr>
                <w:sz w:val="18"/>
                <w:vertAlign w:val="baseline"/>
              </w:rPr>
              <w:t>=1)</w:t>
            </w:r>
          </w:p>
        </w:tc>
        <w:tc>
          <w:tcPr>
            <w:tcW w:w="3062" w:type="dxa"/>
          </w:tcPr>
          <w:p>
            <w:pPr>
              <w:pStyle w:val="TableParagraph"/>
              <w:spacing w:line="218" w:lineRule="exact"/>
              <w:ind w:left="621"/>
              <w:rPr>
                <w:rFonts w:ascii="宋体" w:eastAsia="宋体" w:hint="eastAsia"/>
                <w:sz w:val="18"/>
              </w:rPr>
            </w:pPr>
            <w:r>
              <w:rPr>
                <w:sz w:val="18"/>
              </w:rPr>
              <w:t>1.262</w:t>
            </w:r>
            <w:r>
              <w:rPr>
                <w:rFonts w:ascii="宋体" w:eastAsia="宋体" w:hint="eastAsia"/>
                <w:sz w:val="18"/>
              </w:rPr>
              <w:t>（</w:t>
            </w:r>
            <w:r>
              <w:rPr>
                <w:sz w:val="18"/>
              </w:rPr>
              <w:t>1.034</w:t>
            </w:r>
            <w:r>
              <w:rPr>
                <w:rFonts w:ascii="宋体" w:eastAsia="宋体" w:hint="eastAsia"/>
                <w:sz w:val="18"/>
              </w:rPr>
              <w:t>～</w:t>
            </w:r>
            <w:r>
              <w:rPr>
                <w:sz w:val="18"/>
              </w:rPr>
              <w:t>1.540</w:t>
            </w:r>
            <w:r>
              <w:rPr>
                <w:rFonts w:ascii="宋体" w:eastAsia="宋体" w:hint="eastAsia"/>
                <w:sz w:val="18"/>
              </w:rPr>
              <w:t>）</w:t>
            </w:r>
          </w:p>
        </w:tc>
        <w:tc>
          <w:tcPr>
            <w:tcW w:w="2908" w:type="dxa"/>
          </w:tcPr>
          <w:p>
            <w:pPr>
              <w:pStyle w:val="TableParagraph"/>
              <w:rPr>
                <w:sz w:val="16"/>
              </w:rPr>
            </w:pPr>
          </w:p>
        </w:tc>
      </w:tr>
      <w:tr>
        <w:trPr>
          <w:trHeight w:val="240" w:hRule="atLeast"/>
        </w:trPr>
        <w:tc>
          <w:tcPr>
            <w:tcW w:w="3745" w:type="dxa"/>
          </w:tcPr>
          <w:p>
            <w:pPr>
              <w:pStyle w:val="TableParagraph"/>
              <w:spacing w:line="218" w:lineRule="exact"/>
              <w:ind w:left="108"/>
              <w:rPr>
                <w:rFonts w:ascii="宋体" w:eastAsia="宋体" w:hint="eastAsia"/>
                <w:sz w:val="18"/>
              </w:rPr>
            </w:pPr>
            <w:r>
              <w:rPr>
                <w:rFonts w:ascii="宋体" w:eastAsia="宋体" w:hint="eastAsia"/>
                <w:sz w:val="18"/>
              </w:rPr>
              <w:t>肺切除手术（已做</w:t>
            </w:r>
            <w:r>
              <w:rPr>
                <w:sz w:val="18"/>
              </w:rPr>
              <w:t>:X</w:t>
            </w:r>
            <w:r>
              <w:rPr>
                <w:sz w:val="18"/>
                <w:vertAlign w:val="subscript"/>
              </w:rPr>
              <w:t>surgery</w:t>
            </w:r>
            <w:r>
              <w:rPr>
                <w:sz w:val="18"/>
                <w:vertAlign w:val="baseline"/>
              </w:rPr>
              <w:t>=1</w:t>
            </w:r>
            <w:r>
              <w:rPr>
                <w:rFonts w:ascii="宋体" w:eastAsia="宋体" w:hint="eastAsia"/>
                <w:sz w:val="18"/>
                <w:vertAlign w:val="baseline"/>
              </w:rPr>
              <w:t>）</w:t>
            </w:r>
          </w:p>
        </w:tc>
        <w:tc>
          <w:tcPr>
            <w:tcW w:w="3062" w:type="dxa"/>
          </w:tcPr>
          <w:p>
            <w:pPr>
              <w:pStyle w:val="TableParagraph"/>
              <w:spacing w:line="207" w:lineRule="exact"/>
              <w:ind w:left="621"/>
              <w:rPr>
                <w:sz w:val="18"/>
              </w:rPr>
            </w:pPr>
            <w:r>
              <w:rPr>
                <w:sz w:val="18"/>
              </w:rPr>
              <w:t>1</w:t>
            </w:r>
          </w:p>
        </w:tc>
        <w:tc>
          <w:tcPr>
            <w:tcW w:w="2908" w:type="dxa"/>
          </w:tcPr>
          <w:p>
            <w:pPr>
              <w:pStyle w:val="TableParagraph"/>
              <w:spacing w:line="207" w:lineRule="exact"/>
              <w:ind w:left="1439"/>
              <w:rPr>
                <w:sz w:val="18"/>
              </w:rPr>
            </w:pPr>
            <w:r>
              <w:rPr>
                <w:sz w:val="18"/>
              </w:rPr>
              <w:t>P&lt;0.05</w:t>
            </w:r>
          </w:p>
        </w:tc>
      </w:tr>
      <w:tr>
        <w:trPr>
          <w:trHeight w:val="221" w:hRule="atLeast"/>
        </w:trPr>
        <w:tc>
          <w:tcPr>
            <w:tcW w:w="3745" w:type="dxa"/>
            <w:tcBorders>
              <w:bottom w:val="single" w:sz="4" w:space="0" w:color="000000"/>
            </w:tcBorders>
          </w:tcPr>
          <w:p>
            <w:pPr>
              <w:pStyle w:val="TableParagraph"/>
              <w:spacing w:line="202" w:lineRule="exact"/>
              <w:ind w:left="108"/>
              <w:rPr>
                <w:rFonts w:ascii="宋体" w:eastAsia="宋体" w:hint="eastAsia"/>
                <w:sz w:val="18"/>
              </w:rPr>
            </w:pPr>
            <w:r>
              <w:rPr>
                <w:rFonts w:ascii="宋体" w:eastAsia="宋体" w:hint="eastAsia"/>
                <w:sz w:val="18"/>
              </w:rPr>
              <w:t>肺切除手术（未做</w:t>
            </w:r>
            <w:r>
              <w:rPr>
                <w:sz w:val="18"/>
              </w:rPr>
              <w:t>:X</w:t>
            </w:r>
            <w:r>
              <w:rPr>
                <w:sz w:val="18"/>
                <w:vertAlign w:val="subscript"/>
              </w:rPr>
              <w:t>surgery</w:t>
            </w:r>
            <w:r>
              <w:rPr>
                <w:sz w:val="18"/>
                <w:vertAlign w:val="baseline"/>
              </w:rPr>
              <w:t>=0</w:t>
            </w:r>
            <w:r>
              <w:rPr>
                <w:rFonts w:ascii="宋体" w:eastAsia="宋体" w:hint="eastAsia"/>
                <w:sz w:val="18"/>
                <w:vertAlign w:val="baseline"/>
              </w:rPr>
              <w:t>）</w:t>
            </w:r>
          </w:p>
        </w:tc>
        <w:tc>
          <w:tcPr>
            <w:tcW w:w="3062" w:type="dxa"/>
            <w:tcBorders>
              <w:bottom w:val="single" w:sz="4" w:space="0" w:color="000000"/>
            </w:tcBorders>
          </w:tcPr>
          <w:p>
            <w:pPr>
              <w:pStyle w:val="TableParagraph"/>
              <w:spacing w:line="202" w:lineRule="exact"/>
              <w:ind w:left="621"/>
              <w:rPr>
                <w:rFonts w:ascii="宋体" w:eastAsia="宋体" w:hint="eastAsia"/>
                <w:sz w:val="18"/>
              </w:rPr>
            </w:pPr>
            <w:r>
              <w:rPr>
                <w:sz w:val="18"/>
              </w:rPr>
              <w:t>1.667</w:t>
            </w:r>
            <w:r>
              <w:rPr>
                <w:rFonts w:ascii="宋体" w:eastAsia="宋体" w:hint="eastAsia"/>
                <w:sz w:val="18"/>
              </w:rPr>
              <w:t>（</w:t>
            </w:r>
            <w:r>
              <w:rPr>
                <w:sz w:val="18"/>
              </w:rPr>
              <w:t>1.353</w:t>
            </w:r>
            <w:r>
              <w:rPr>
                <w:rFonts w:ascii="宋体" w:eastAsia="宋体" w:hint="eastAsia"/>
                <w:sz w:val="18"/>
              </w:rPr>
              <w:t>～</w:t>
            </w:r>
            <w:r>
              <w:rPr>
                <w:sz w:val="18"/>
              </w:rPr>
              <w:t>2.055</w:t>
            </w:r>
            <w:r>
              <w:rPr>
                <w:rFonts w:ascii="宋体" w:eastAsia="宋体" w:hint="eastAsia"/>
                <w:sz w:val="18"/>
              </w:rPr>
              <w:t>）</w:t>
            </w:r>
          </w:p>
        </w:tc>
        <w:tc>
          <w:tcPr>
            <w:tcW w:w="2908" w:type="dxa"/>
            <w:tcBorders>
              <w:bottom w:val="single" w:sz="4" w:space="0" w:color="000000"/>
            </w:tcBorders>
          </w:tcPr>
          <w:p>
            <w:pPr>
              <w:pStyle w:val="TableParagraph"/>
              <w:rPr>
                <w:sz w:val="14"/>
              </w:rPr>
            </w:pPr>
          </w:p>
        </w:tc>
      </w:tr>
    </w:tbl>
    <w:p>
      <w:pPr>
        <w:pStyle w:val="BodyText"/>
        <w:spacing w:before="6"/>
        <w:ind w:left="0"/>
        <w:rPr>
          <w:rFonts w:ascii="华文楷体"/>
        </w:rPr>
      </w:pPr>
    </w:p>
    <w:p>
      <w:pPr>
        <w:spacing w:after="0"/>
        <w:rPr>
          <w:rFonts w:ascii="华文楷体"/>
        </w:rPr>
        <w:sectPr>
          <w:type w:val="continuous"/>
          <w:pgSz w:w="11910" w:h="16850"/>
          <w:pgMar w:top="1080" w:bottom="1020" w:left="1060" w:right="0"/>
        </w:sectPr>
      </w:pPr>
    </w:p>
    <w:p>
      <w:pPr>
        <w:pStyle w:val="BodyText"/>
        <w:spacing w:before="10"/>
        <w:ind w:left="0"/>
        <w:rPr>
          <w:rFonts w:ascii="华文楷体"/>
          <w:sz w:val="6"/>
        </w:rPr>
      </w:pPr>
    </w:p>
    <w:p>
      <w:pPr>
        <w:spacing w:line="210" w:lineRule="atLeast" w:before="0"/>
        <w:ind w:left="645" w:right="18" w:firstLine="0"/>
        <w:jc w:val="left"/>
        <w:rPr>
          <w:rFonts w:ascii="Arial"/>
          <w:sz w:val="10"/>
        </w:rPr>
      </w:pPr>
      <w:r>
        <w:rPr>
          <w:rFonts w:ascii="Arial"/>
          <w:w w:val="105"/>
          <w:sz w:val="10"/>
        </w:rPr>
        <w:t>Points age</w:t>
      </w:r>
    </w:p>
    <w:p>
      <w:pPr>
        <w:pStyle w:val="BodyText"/>
        <w:ind w:left="0"/>
        <w:rPr>
          <w:rFonts w:ascii="Arial"/>
          <w:sz w:val="9"/>
        </w:rPr>
      </w:pPr>
      <w:r>
        <w:rPr/>
        <w:br w:type="column"/>
      </w:r>
      <w:r>
        <w:rPr>
          <w:rFonts w:ascii="Arial"/>
          <w:sz w:val="9"/>
        </w:rPr>
      </w:r>
    </w:p>
    <w:p>
      <w:pPr>
        <w:tabs>
          <w:tab w:pos="1159" w:val="left" w:leader="none"/>
          <w:tab w:pos="1700" w:val="left" w:leader="none"/>
          <w:tab w:pos="2242" w:val="left" w:leader="none"/>
          <w:tab w:pos="2783" w:val="left" w:leader="none"/>
          <w:tab w:pos="3324" w:val="left" w:leader="none"/>
          <w:tab w:pos="3865" w:val="left" w:leader="none"/>
          <w:tab w:pos="4407" w:val="left" w:leader="none"/>
          <w:tab w:pos="4948" w:val="left" w:leader="none"/>
          <w:tab w:pos="5489" w:val="left" w:leader="none"/>
          <w:tab w:pos="6011" w:val="left" w:leader="none"/>
        </w:tabs>
        <w:spacing w:before="0"/>
        <w:ind w:left="645" w:right="0" w:firstLine="0"/>
        <w:jc w:val="left"/>
        <w:rPr>
          <w:rFonts w:ascii="Arial"/>
          <w:sz w:val="8"/>
        </w:rPr>
      </w:pPr>
      <w:r>
        <w:rPr>
          <w:rFonts w:ascii="Arial"/>
          <w:w w:val="105"/>
          <w:sz w:val="8"/>
        </w:rPr>
        <w:t>0</w:t>
        <w:tab/>
        <w:t>10</w:t>
        <w:tab/>
        <w:t>20</w:t>
        <w:tab/>
        <w:t>30</w:t>
        <w:tab/>
        <w:t>40</w:t>
        <w:tab/>
        <w:t>50</w:t>
        <w:tab/>
        <w:t>60</w:t>
        <w:tab/>
        <w:t>70</w:t>
        <w:tab/>
        <w:t>80</w:t>
        <w:tab/>
        <w:t>90</w:t>
        <w:tab/>
      </w:r>
      <w:r>
        <w:rPr>
          <w:rFonts w:ascii="Arial"/>
          <w:spacing w:val="-2"/>
          <w:w w:val="105"/>
          <w:sz w:val="8"/>
        </w:rPr>
        <w:t>100</w:t>
      </w:r>
    </w:p>
    <w:p>
      <w:pPr>
        <w:pStyle w:val="BodyText"/>
        <w:spacing w:line="40" w:lineRule="exact"/>
        <w:ind w:left="660"/>
        <w:rPr>
          <w:rFonts w:ascii="Arial"/>
          <w:sz w:val="4"/>
        </w:rPr>
      </w:pPr>
      <w:r>
        <w:rPr>
          <w:rFonts w:ascii="Arial"/>
          <w:position w:val="0"/>
          <w:sz w:val="4"/>
        </w:rPr>
        <w:pict>
          <v:group style="width:270.95pt;height:1.85pt;mso-position-horizontal-relative:char;mso-position-vertical-relative:line" coordorigin="0,0" coordsize="5419,37">
            <v:line style="position:absolute" from="3,33" to="5416,33" stroked="true" strokeweight=".329811pt" strokecolor="#000000">
              <v:stroke dashstyle="solid"/>
            </v:line>
            <v:line style="position:absolute" from="3,33" to="3,0" stroked="true" strokeweight=".329755pt" strokecolor="#000000">
              <v:stroke dashstyle="solid"/>
            </v:line>
            <v:line style="position:absolute" from="545,33" to="545,0" stroked="true" strokeweight=".329755pt" strokecolor="#000000">
              <v:stroke dashstyle="solid"/>
            </v:line>
            <v:line style="position:absolute" from="1086,33" to="1086,0" stroked="true" strokeweight=".329755pt" strokecolor="#000000">
              <v:stroke dashstyle="solid"/>
            </v:line>
            <v:line style="position:absolute" from="1627,33" to="1627,0" stroked="true" strokeweight=".329755pt" strokecolor="#000000">
              <v:stroke dashstyle="solid"/>
            </v:line>
            <v:line style="position:absolute" from="2168,33" to="2168,0" stroked="true" strokeweight=".329755pt" strokecolor="#000000">
              <v:stroke dashstyle="solid"/>
            </v:line>
            <v:line style="position:absolute" from="2710,33" to="2710,0" stroked="true" strokeweight=".329755pt" strokecolor="#000000">
              <v:stroke dashstyle="solid"/>
            </v:line>
            <v:line style="position:absolute" from="3251,33" to="3251,0" stroked="true" strokeweight=".329755pt" strokecolor="#000000">
              <v:stroke dashstyle="solid"/>
            </v:line>
            <v:line style="position:absolute" from="3792,33" to="3792,0" stroked="true" strokeweight=".329755pt" strokecolor="#000000">
              <v:stroke dashstyle="solid"/>
            </v:line>
            <v:line style="position:absolute" from="4333,33" to="4333,0" stroked="true" strokeweight=".329755pt" strokecolor="#000000">
              <v:stroke dashstyle="solid"/>
            </v:line>
            <v:line style="position:absolute" from="4874,33" to="4874,0" stroked="true" strokeweight=".329755pt" strokecolor="#000000">
              <v:stroke dashstyle="solid"/>
            </v:line>
            <v:line style="position:absolute" from="5416,33" to="5416,0" stroked="true" strokeweight=".329755pt" strokecolor="#000000">
              <v:stroke dashstyle="solid"/>
            </v:line>
            <v:line style="position:absolute" from="3,33" to="5416,33" stroked="true" strokeweight=".329811pt" strokecolor="#000000">
              <v:stroke dashstyle="solid"/>
            </v:line>
            <v:line style="position:absolute" from="3,33" to="3,33" stroked="true" strokeweight=".329811pt" strokecolor="#000000">
              <v:stroke dashstyle="solid"/>
            </v:line>
            <v:line style="position:absolute" from="545,33" to="545,33" stroked="true" strokeweight=".329811pt" strokecolor="#000000">
              <v:stroke dashstyle="solid"/>
            </v:line>
            <v:line style="position:absolute" from="1086,33" to="1086,33" stroked="true" strokeweight=".329811pt" strokecolor="#000000">
              <v:stroke dashstyle="solid"/>
            </v:line>
            <v:line style="position:absolute" from="1627,33" to="1627,33" stroked="true" strokeweight=".329811pt" strokecolor="#000000">
              <v:stroke dashstyle="solid"/>
            </v:line>
            <v:line style="position:absolute" from="2168,33" to="2168,33" stroked="true" strokeweight=".329811pt" strokecolor="#000000">
              <v:stroke dashstyle="solid"/>
            </v:line>
            <v:line style="position:absolute" from="2710,33" to="2710,33" stroked="true" strokeweight=".329811pt" strokecolor="#000000">
              <v:stroke dashstyle="solid"/>
            </v:line>
            <v:line style="position:absolute" from="3251,33" to="3251,33" stroked="true" strokeweight=".329811pt" strokecolor="#000000">
              <v:stroke dashstyle="solid"/>
            </v:line>
            <v:line style="position:absolute" from="3792,33" to="3792,33" stroked="true" strokeweight=".329811pt" strokecolor="#000000">
              <v:stroke dashstyle="solid"/>
            </v:line>
            <v:line style="position:absolute" from="4333,33" to="4333,33" stroked="true" strokeweight=".329811pt" strokecolor="#000000">
              <v:stroke dashstyle="solid"/>
            </v:line>
            <v:line style="position:absolute" from="4874,33" to="4874,33" stroked="true" strokeweight=".329811pt" strokecolor="#000000">
              <v:stroke dashstyle="solid"/>
            </v:line>
            <v:line style="position:absolute" from="5416,33" to="5416,33" stroked="true" strokeweight=".329811pt" strokecolor="#000000">
              <v:stroke dashstyle="solid"/>
            </v:line>
            <v:line style="position:absolute" from="135,33" to="5277,33" stroked="true" strokeweight=".329811pt" strokecolor="#000000">
              <v:stroke dashstyle="solid"/>
            </v:line>
            <v:line style="position:absolute" from="135,33" to="135,20" stroked="true" strokeweight=".329755pt" strokecolor="#000000">
              <v:stroke dashstyle="solid"/>
            </v:line>
            <v:line style="position:absolute" from="274,33" to="274,20" stroked="true" strokeweight=".329755pt" strokecolor="#000000">
              <v:stroke dashstyle="solid"/>
            </v:line>
            <v:line style="position:absolute" from="406,33" to="406,20" stroked="true" strokeweight=".329755pt" strokecolor="#000000">
              <v:stroke dashstyle="solid"/>
            </v:line>
            <v:line style="position:absolute" from="677,33" to="677,20" stroked="true" strokeweight=".329755pt" strokecolor="#000000">
              <v:stroke dashstyle="solid"/>
            </v:line>
            <v:line style="position:absolute" from="815,33" to="815,20" stroked="true" strokeweight=".329755pt" strokecolor="#000000">
              <v:stroke dashstyle="solid"/>
            </v:line>
            <v:line style="position:absolute" from="947,33" to="947,20" stroked="true" strokeweight=".329755pt" strokecolor="#000000">
              <v:stroke dashstyle="solid"/>
            </v:line>
            <v:line style="position:absolute" from="1218,33" to="1218,20" stroked="true" strokeweight=".329755pt" strokecolor="#000000">
              <v:stroke dashstyle="solid"/>
            </v:line>
            <v:line style="position:absolute" from="1356,33" to="1356,20" stroked="true" strokeweight=".329755pt" strokecolor="#000000">
              <v:stroke dashstyle="solid"/>
            </v:line>
            <v:line style="position:absolute" from="1488,33" to="1488,20" stroked="true" strokeweight=".329755pt" strokecolor="#000000">
              <v:stroke dashstyle="solid"/>
            </v:line>
            <v:line style="position:absolute" from="1759,33" to="1759,20" stroked="true" strokeweight=".329755pt" strokecolor="#000000">
              <v:stroke dashstyle="solid"/>
            </v:line>
            <v:line style="position:absolute" from="1898,33" to="1898,20" stroked="true" strokeweight=".329755pt" strokecolor="#000000">
              <v:stroke dashstyle="solid"/>
            </v:line>
            <v:line style="position:absolute" from="2030,33" to="2030,20" stroked="true" strokeweight=".329755pt" strokecolor="#000000">
              <v:stroke dashstyle="solid"/>
            </v:line>
            <v:line style="position:absolute" from="2300,33" to="2300,20" stroked="true" strokeweight=".329755pt" strokecolor="#000000">
              <v:stroke dashstyle="solid"/>
            </v:line>
            <v:line style="position:absolute" from="2439,33" to="2439,20" stroked="true" strokeweight=".329755pt" strokecolor="#000000">
              <v:stroke dashstyle="solid"/>
            </v:line>
            <v:line style="position:absolute" from="2571,33" to="2571,20" stroked="true" strokeweight=".329755pt" strokecolor="#000000">
              <v:stroke dashstyle="solid"/>
            </v:line>
            <v:line style="position:absolute" from="2841,33" to="2841,20" stroked="true" strokeweight=".329755pt" strokecolor="#000000">
              <v:stroke dashstyle="solid"/>
            </v:line>
            <v:line style="position:absolute" from="2980,33" to="2980,20" stroked="true" strokeweight=".329755pt" strokecolor="#000000">
              <v:stroke dashstyle="solid"/>
            </v:line>
            <v:line style="position:absolute" from="3112,33" to="3112,20" stroked="true" strokeweight=".329755pt" strokecolor="#000000">
              <v:stroke dashstyle="solid"/>
            </v:line>
            <v:line style="position:absolute" from="3383,33" to="3383,20" stroked="true" strokeweight=".329755pt" strokecolor="#000000">
              <v:stroke dashstyle="solid"/>
            </v:line>
            <v:line style="position:absolute" from="3521,33" to="3521,20" stroked="true" strokeweight=".329755pt" strokecolor="#000000">
              <v:stroke dashstyle="solid"/>
            </v:line>
            <v:line style="position:absolute" from="3653,33" to="3653,20" stroked="true" strokeweight=".329755pt" strokecolor="#000000">
              <v:stroke dashstyle="solid"/>
            </v:line>
            <v:line style="position:absolute" from="3924,33" to="3924,20" stroked="true" strokeweight=".329755pt" strokecolor="#000000">
              <v:stroke dashstyle="solid"/>
            </v:line>
            <v:line style="position:absolute" from="4063,33" to="4063,20" stroked="true" strokeweight=".329755pt" strokecolor="#000000">
              <v:stroke dashstyle="solid"/>
            </v:line>
            <v:line style="position:absolute" from="4195,33" to="4195,20" stroked="true" strokeweight=".329755pt" strokecolor="#000000">
              <v:stroke dashstyle="solid"/>
            </v:line>
            <v:line style="position:absolute" from="4465,33" to="4465,20" stroked="true" strokeweight=".329755pt" strokecolor="#000000">
              <v:stroke dashstyle="solid"/>
            </v:line>
            <v:line style="position:absolute" from="4604,33" to="4604,20" stroked="true" strokeweight=".329755pt" strokecolor="#000000">
              <v:stroke dashstyle="solid"/>
            </v:line>
            <v:line style="position:absolute" from="4736,33" to="4736,20" stroked="true" strokeweight=".329755pt" strokecolor="#000000">
              <v:stroke dashstyle="solid"/>
            </v:line>
            <v:line style="position:absolute" from="5006,33" to="5006,20" stroked="true" strokeweight=".329755pt" strokecolor="#000000">
              <v:stroke dashstyle="solid"/>
            </v:line>
            <v:line style="position:absolute" from="5145,33" to="5145,20" stroked="true" strokeweight=".329755pt" strokecolor="#000000">
              <v:stroke dashstyle="solid"/>
            </v:line>
            <v:line style="position:absolute" from="5277,33" to="5277,20" stroked="true" strokeweight=".329755pt" strokecolor="#000000">
              <v:stroke dashstyle="solid"/>
            </v:line>
          </v:group>
        </w:pict>
      </w:r>
      <w:r>
        <w:rPr>
          <w:rFonts w:ascii="Arial"/>
          <w:position w:val="0"/>
          <w:sz w:val="4"/>
        </w:rPr>
      </w:r>
    </w:p>
    <w:p>
      <w:pPr>
        <w:pStyle w:val="BodyText"/>
        <w:spacing w:before="7"/>
        <w:ind w:left="0"/>
        <w:rPr>
          <w:rFonts w:ascii="Arial"/>
          <w:sz w:val="8"/>
        </w:rPr>
      </w:pPr>
    </w:p>
    <w:p>
      <w:pPr>
        <w:spacing w:before="1"/>
        <w:ind w:left="1351" w:right="0" w:firstLine="0"/>
        <w:jc w:val="left"/>
        <w:rPr>
          <w:rFonts w:ascii="Arial"/>
          <w:sz w:val="8"/>
        </w:rPr>
      </w:pPr>
      <w:r>
        <w:rPr>
          <w:rFonts w:ascii="Arial"/>
          <w:w w:val="107"/>
          <w:sz w:val="8"/>
        </w:rPr>
        <w:t>1</w:t>
      </w:r>
    </w:p>
    <w:p>
      <w:pPr>
        <w:pStyle w:val="BodyText"/>
        <w:spacing w:line="74" w:lineRule="exact"/>
        <w:ind w:left="660"/>
        <w:rPr>
          <w:rFonts w:ascii="Arial"/>
          <w:sz w:val="7"/>
        </w:rPr>
      </w:pPr>
      <w:r>
        <w:rPr>
          <w:rFonts w:ascii="Arial"/>
          <w:position w:val="0"/>
          <w:sz w:val="7"/>
        </w:rPr>
        <w:pict>
          <v:group style="width:35.65pt;height:3.35pt;mso-position-horizontal-relative:char;mso-position-vertical-relative:line" coordorigin="0,0" coordsize="713,67">
            <v:line style="position:absolute" from="3,33" to="710,33" stroked="true" strokeweight=".329811pt" strokecolor="#000000">
              <v:stroke dashstyle="solid"/>
            </v:line>
            <v:line style="position:absolute" from="3,33" to="3,33" stroked="true" strokeweight=".329811pt" strokecolor="#000000">
              <v:stroke dashstyle="solid"/>
            </v:line>
            <v:line style="position:absolute" from="3,33" to="3,66" stroked="true" strokeweight=".329755pt" strokecolor="#000000">
              <v:stroke dashstyle="solid"/>
            </v:line>
            <v:line style="position:absolute" from="3,33" to="3,33" stroked="true" strokeweight=".329811pt" strokecolor="#000000">
              <v:stroke dashstyle="solid"/>
            </v:line>
            <v:line style="position:absolute" from="3,33" to="3,33" stroked="true" strokeweight=".329811pt" strokecolor="#000000">
              <v:stroke dashstyle="solid"/>
            </v:line>
            <v:line style="position:absolute" from="710,33" to="710,33" stroked="true" strokeweight=".329811pt" strokecolor="#000000">
              <v:stroke dashstyle="solid"/>
            </v:line>
            <v:line style="position:absolute" from="710,33" to="710,0" stroked="true" strokeweight=".329755pt" strokecolor="#000000">
              <v:stroke dashstyle="solid"/>
            </v:line>
            <v:line style="position:absolute" from="710,33" to="710,33" stroked="true" strokeweight=".329811pt" strokecolor="#000000">
              <v:stroke dashstyle="solid"/>
            </v:line>
            <v:line style="position:absolute" from="710,33" to="710,33" stroked="true" strokeweight=".329811pt" strokecolor="#000000">
              <v:stroke dashstyle="solid"/>
            </v:line>
          </v:group>
        </w:pict>
      </w:r>
      <w:r>
        <w:rPr>
          <w:rFonts w:ascii="Arial"/>
          <w:position w:val="0"/>
          <w:sz w:val="7"/>
        </w:rPr>
      </w:r>
    </w:p>
    <w:p>
      <w:pPr>
        <w:spacing w:after="0" w:line="74" w:lineRule="exact"/>
        <w:rPr>
          <w:rFonts w:ascii="Arial"/>
          <w:sz w:val="7"/>
        </w:rPr>
        <w:sectPr>
          <w:type w:val="continuous"/>
          <w:pgSz w:w="11910" w:h="16850"/>
          <w:pgMar w:top="1080" w:bottom="1020" w:left="1060" w:right="0"/>
          <w:cols w:num="2" w:equalWidth="0">
            <w:col w:w="975" w:space="899"/>
            <w:col w:w="8976"/>
          </w:cols>
        </w:sectPr>
      </w:pPr>
    </w:p>
    <w:p>
      <w:pPr>
        <w:pStyle w:val="BodyText"/>
        <w:spacing w:before="10"/>
        <w:ind w:left="0"/>
        <w:rPr>
          <w:rFonts w:ascii="Arial"/>
          <w:sz w:val="10"/>
        </w:rPr>
      </w:pPr>
    </w:p>
    <w:p>
      <w:pPr>
        <w:spacing w:line="489" w:lineRule="auto" w:before="1"/>
        <w:ind w:left="645" w:right="210" w:firstLine="0"/>
        <w:jc w:val="left"/>
        <w:rPr>
          <w:rFonts w:ascii="Arial"/>
          <w:sz w:val="10"/>
        </w:rPr>
      </w:pPr>
      <w:r>
        <w:rPr>
          <w:rFonts w:ascii="Arial"/>
          <w:w w:val="105"/>
          <w:sz w:val="10"/>
        </w:rPr>
        <w:t>sex TNM KPS</w:t>
      </w:r>
    </w:p>
    <w:p>
      <w:pPr>
        <w:spacing w:line="106" w:lineRule="exact" w:before="0"/>
        <w:ind w:left="645" w:right="0" w:firstLine="0"/>
        <w:jc w:val="left"/>
        <w:rPr>
          <w:rFonts w:ascii="Arial"/>
          <w:sz w:val="10"/>
        </w:rPr>
      </w:pPr>
      <w:r>
        <w:rPr>
          <w:rFonts w:ascii="Arial"/>
          <w:w w:val="105"/>
          <w:sz w:val="10"/>
        </w:rPr>
        <w:t>drinking</w:t>
      </w:r>
    </w:p>
    <w:p>
      <w:pPr>
        <w:spacing w:before="103"/>
        <w:ind w:left="645" w:right="0" w:firstLine="0"/>
        <w:jc w:val="left"/>
        <w:rPr>
          <w:rFonts w:ascii="Arial"/>
          <w:sz w:val="10"/>
        </w:rPr>
      </w:pPr>
      <w:r>
        <w:rPr>
          <w:rFonts w:ascii="Arial"/>
          <w:w w:val="105"/>
          <w:sz w:val="10"/>
        </w:rPr>
        <w:t>surgery</w:t>
      </w:r>
    </w:p>
    <w:p>
      <w:pPr>
        <w:pStyle w:val="BodyText"/>
        <w:spacing w:before="10"/>
        <w:ind w:left="0"/>
        <w:rPr>
          <w:rFonts w:ascii="Arial"/>
          <w:sz w:val="11"/>
        </w:rPr>
      </w:pPr>
    </w:p>
    <w:p>
      <w:pPr>
        <w:spacing w:before="0"/>
        <w:ind w:left="645" w:right="0" w:firstLine="0"/>
        <w:jc w:val="left"/>
        <w:rPr>
          <w:rFonts w:ascii="Arial"/>
          <w:sz w:val="10"/>
        </w:rPr>
      </w:pPr>
      <w:r>
        <w:rPr>
          <w:rFonts w:ascii="Arial"/>
          <w:w w:val="105"/>
          <w:sz w:val="10"/>
        </w:rPr>
        <w:t>Total Points</w:t>
      </w:r>
    </w:p>
    <w:p>
      <w:pPr>
        <w:tabs>
          <w:tab w:pos="1542" w:val="left" w:leader="none"/>
        </w:tabs>
        <w:spacing w:before="28"/>
        <w:ind w:left="645" w:right="0" w:firstLine="0"/>
        <w:jc w:val="left"/>
        <w:rPr>
          <w:rFonts w:ascii="Arial"/>
          <w:sz w:val="8"/>
        </w:rPr>
      </w:pPr>
      <w:r>
        <w:rPr/>
        <w:br w:type="column"/>
      </w:r>
      <w:r>
        <w:rPr>
          <w:rFonts w:ascii="Arial"/>
          <w:w w:val="105"/>
          <w:position w:val="1"/>
          <w:sz w:val="8"/>
        </w:rPr>
        <w:t>0</w:t>
        <w:tab/>
      </w:r>
      <w:r>
        <w:rPr>
          <w:rFonts w:ascii="Arial"/>
          <w:w w:val="105"/>
          <w:sz w:val="8"/>
        </w:rPr>
        <w:t>1</w:t>
      </w:r>
    </w:p>
    <w:p>
      <w:pPr>
        <w:pStyle w:val="BodyText"/>
        <w:spacing w:line="74" w:lineRule="exact"/>
        <w:ind w:left="660"/>
        <w:rPr>
          <w:rFonts w:ascii="Arial"/>
          <w:sz w:val="7"/>
        </w:rPr>
      </w:pPr>
      <w:r>
        <w:rPr>
          <w:rFonts w:ascii="Arial"/>
          <w:position w:val="0"/>
          <w:sz w:val="7"/>
        </w:rPr>
        <w:pict>
          <v:group style="width:45.25pt;height:3.35pt;mso-position-horizontal-relative:char;mso-position-vertical-relative:line" coordorigin="0,0" coordsize="905,67">
            <v:line style="position:absolute" from="3,33" to="901,33" stroked="true" strokeweight=".329811pt" strokecolor="#000000">
              <v:stroke dashstyle="solid"/>
            </v:line>
            <v:line style="position:absolute" from="3,33" to="3,33" stroked="true" strokeweight=".329811pt" strokecolor="#000000">
              <v:stroke dashstyle="solid"/>
            </v:line>
            <v:line style="position:absolute" from="3,33" to="3,66" stroked="true" strokeweight=".329755pt" strokecolor="#000000">
              <v:stroke dashstyle="solid"/>
            </v:line>
            <v:line style="position:absolute" from="3,33" to="3,33" stroked="true" strokeweight=".329811pt" strokecolor="#000000">
              <v:stroke dashstyle="solid"/>
            </v:line>
            <v:line style="position:absolute" from="3,33" to="3,33" stroked="true" strokeweight=".329811pt" strokecolor="#000000">
              <v:stroke dashstyle="solid"/>
            </v:line>
            <v:line style="position:absolute" from="901,33" to="901,33" stroked="true" strokeweight=".329811pt" strokecolor="#000000">
              <v:stroke dashstyle="solid"/>
            </v:line>
            <v:line style="position:absolute" from="901,33" to="901,0" stroked="true" strokeweight=".329755pt" strokecolor="#000000">
              <v:stroke dashstyle="solid"/>
            </v:line>
            <v:line style="position:absolute" from="901,33" to="901,33" stroked="true" strokeweight=".329811pt" strokecolor="#000000">
              <v:stroke dashstyle="solid"/>
            </v:line>
            <v:line style="position:absolute" from="901,33" to="901,33" stroked="true" strokeweight=".329811pt" strokecolor="#000000">
              <v:stroke dashstyle="solid"/>
            </v:line>
          </v:group>
        </w:pict>
      </w:r>
      <w:r>
        <w:rPr>
          <w:rFonts w:ascii="Arial"/>
          <w:position w:val="0"/>
          <w:sz w:val="7"/>
        </w:rPr>
      </w:r>
    </w:p>
    <w:p>
      <w:pPr>
        <w:tabs>
          <w:tab w:pos="2446" w:val="left" w:leader="none"/>
          <w:tab w:pos="6057" w:val="left" w:leader="none"/>
        </w:tabs>
        <w:spacing w:before="59"/>
        <w:ind w:left="645" w:right="0" w:firstLine="0"/>
        <w:jc w:val="left"/>
        <w:rPr>
          <w:rFonts w:ascii="Arial"/>
          <w:sz w:val="8"/>
        </w:rPr>
      </w:pPr>
      <w:r>
        <w:rPr>
          <w:rFonts w:ascii="Arial"/>
          <w:w w:val="105"/>
          <w:sz w:val="8"/>
        </w:rPr>
        <w:t>0</w:t>
        <w:tab/>
        <w:t>2</w:t>
        <w:tab/>
        <w:t>4</w:t>
      </w:r>
    </w:p>
    <w:p>
      <w:pPr>
        <w:pStyle w:val="BodyText"/>
        <w:spacing w:line="74" w:lineRule="exact"/>
        <w:ind w:left="660"/>
        <w:rPr>
          <w:rFonts w:ascii="Arial"/>
          <w:sz w:val="7"/>
        </w:rPr>
      </w:pPr>
      <w:r>
        <w:rPr>
          <w:rFonts w:ascii="Arial"/>
          <w:position w:val="0"/>
          <w:sz w:val="7"/>
        </w:rPr>
        <w:pict>
          <v:group style="width:270.95pt;height:3.35pt;mso-position-horizontal-relative:char;mso-position-vertical-relative:line" coordorigin="0,0" coordsize="5419,67">
            <v:line style="position:absolute" from="3,33" to="5416,33" stroked="true" strokeweight=".329811pt" strokecolor="#000000">
              <v:stroke dashstyle="solid"/>
            </v:line>
            <v:line style="position:absolute" from="3,33" to="3614,33" stroked="true" strokeweight=".329811pt" strokecolor="#000000">
              <v:stroke dashstyle="solid"/>
            </v:line>
            <v:line style="position:absolute" from="3,33" to="3,66" stroked="true" strokeweight=".329755pt" strokecolor="#000000">
              <v:stroke dashstyle="solid"/>
            </v:line>
            <v:line style="position:absolute" from="3614,33" to="3614,66" stroked="true" strokeweight=".329755pt" strokecolor="#000000">
              <v:stroke dashstyle="solid"/>
            </v:line>
            <v:line style="position:absolute" from="3,33" to="3614,33" stroked="true" strokeweight=".329811pt" strokecolor="#000000">
              <v:stroke dashstyle="solid"/>
            </v:line>
            <v:line style="position:absolute" from="3,33" to="3,33" stroked="true" strokeweight=".329811pt" strokecolor="#000000">
              <v:stroke dashstyle="solid"/>
            </v:line>
            <v:line style="position:absolute" from="3614,33" to="3614,33" stroked="true" strokeweight=".329811pt" strokecolor="#000000">
              <v:stroke dashstyle="solid"/>
            </v:line>
            <v:line style="position:absolute" from="1805,33" to="5416,33" stroked="true" strokeweight=".329811pt" strokecolor="#000000">
              <v:stroke dashstyle="solid"/>
            </v:line>
            <v:line style="position:absolute" from="1805,33" to="1805,0" stroked="true" strokeweight=".329755pt" strokecolor="#000000">
              <v:stroke dashstyle="solid"/>
            </v:line>
            <v:line style="position:absolute" from="5416,33" to="5416,0" stroked="true" strokeweight=".329755pt" strokecolor="#000000">
              <v:stroke dashstyle="solid"/>
            </v:line>
            <v:line style="position:absolute" from="1805,33" to="5416,33" stroked="true" strokeweight=".329811pt" strokecolor="#000000">
              <v:stroke dashstyle="solid"/>
            </v:line>
            <v:line style="position:absolute" from="1805,33" to="1805,33" stroked="true" strokeweight=".329811pt" strokecolor="#000000">
              <v:stroke dashstyle="solid"/>
            </v:line>
            <v:line style="position:absolute" from="5416,33" to="5416,33" stroked="true" strokeweight=".329811pt" strokecolor="#000000">
              <v:stroke dashstyle="solid"/>
            </v:line>
          </v:group>
        </w:pict>
      </w:r>
      <w:r>
        <w:rPr>
          <w:rFonts w:ascii="Arial"/>
          <w:position w:val="0"/>
          <w:sz w:val="7"/>
        </w:rPr>
      </w:r>
    </w:p>
    <w:p>
      <w:pPr>
        <w:tabs>
          <w:tab w:pos="2123" w:val="left" w:leader="none"/>
          <w:tab w:pos="4255" w:val="left" w:leader="none"/>
        </w:tabs>
        <w:spacing w:before="66"/>
        <w:ind w:left="645" w:right="0" w:firstLine="0"/>
        <w:jc w:val="left"/>
        <w:rPr>
          <w:rFonts w:ascii="Arial"/>
          <w:sz w:val="8"/>
        </w:rPr>
      </w:pPr>
      <w:r>
        <w:rPr>
          <w:rFonts w:ascii="Arial"/>
          <w:w w:val="105"/>
          <w:sz w:val="8"/>
        </w:rPr>
        <w:t>1</w:t>
        <w:tab/>
        <w:t>1</w:t>
        <w:tab/>
        <w:t>3</w:t>
      </w:r>
    </w:p>
    <w:p>
      <w:pPr>
        <w:pStyle w:val="BodyText"/>
        <w:spacing w:line="74" w:lineRule="exact"/>
        <w:ind w:left="660"/>
        <w:rPr>
          <w:rFonts w:ascii="Arial"/>
          <w:sz w:val="7"/>
        </w:rPr>
      </w:pPr>
      <w:r>
        <w:rPr>
          <w:rFonts w:ascii="Arial"/>
          <w:position w:val="0"/>
          <w:sz w:val="7"/>
        </w:rPr>
        <w:pict>
          <v:group style="width:74.3pt;height:3.35pt;mso-position-horizontal-relative:char;mso-position-vertical-relative:line" coordorigin="0,0" coordsize="1486,67">
            <v:line style="position:absolute" from="3,33" to="1482,33" stroked="true" strokeweight=".329811pt" strokecolor="#000000">
              <v:stroke dashstyle="solid"/>
            </v:line>
            <v:line style="position:absolute" from="3,33" to="3,33" stroked="true" strokeweight=".329811pt" strokecolor="#000000">
              <v:stroke dashstyle="solid"/>
            </v:line>
            <v:line style="position:absolute" from="3,33" to="3,66" stroked="true" strokeweight=".329755pt" strokecolor="#000000">
              <v:stroke dashstyle="solid"/>
            </v:line>
            <v:line style="position:absolute" from="3,33" to="3,33" stroked="true" strokeweight=".329811pt" strokecolor="#000000">
              <v:stroke dashstyle="solid"/>
            </v:line>
            <v:line style="position:absolute" from="3,33" to="3,33" stroked="true" strokeweight=".329811pt" strokecolor="#000000">
              <v:stroke dashstyle="solid"/>
            </v:line>
            <v:line style="position:absolute" from="1482,33" to="1482,33" stroked="true" strokeweight=".329811pt" strokecolor="#000000">
              <v:stroke dashstyle="solid"/>
            </v:line>
            <v:line style="position:absolute" from="1482,33" to="1482,0" stroked="true" strokeweight=".329755pt" strokecolor="#000000">
              <v:stroke dashstyle="solid"/>
            </v:line>
            <v:line style="position:absolute" from="1482,33" to="1482,33" stroked="true" strokeweight=".329811pt" strokecolor="#000000">
              <v:stroke dashstyle="solid"/>
            </v:line>
            <v:line style="position:absolute" from="1482,33" to="1482,33" stroked="true" strokeweight=".329811pt" strokecolor="#000000">
              <v:stroke dashstyle="solid"/>
            </v:line>
          </v:group>
        </w:pict>
      </w:r>
      <w:r>
        <w:rPr>
          <w:rFonts w:ascii="Arial"/>
          <w:position w:val="0"/>
          <w:sz w:val="7"/>
        </w:rPr>
      </w:r>
    </w:p>
    <w:p>
      <w:pPr>
        <w:tabs>
          <w:tab w:pos="1496" w:val="left" w:leader="none"/>
        </w:tabs>
        <w:spacing w:before="55"/>
        <w:ind w:left="645" w:right="0" w:firstLine="0"/>
        <w:jc w:val="left"/>
        <w:rPr>
          <w:rFonts w:ascii="Arial"/>
          <w:sz w:val="8"/>
        </w:rPr>
      </w:pPr>
      <w:r>
        <w:rPr>
          <w:rFonts w:ascii="Arial"/>
          <w:w w:val="105"/>
          <w:position w:val="1"/>
          <w:sz w:val="8"/>
        </w:rPr>
        <w:t>0</w:t>
        <w:tab/>
      </w:r>
      <w:r>
        <w:rPr>
          <w:rFonts w:ascii="Arial"/>
          <w:w w:val="105"/>
          <w:sz w:val="8"/>
        </w:rPr>
        <w:t>1</w:t>
      </w:r>
    </w:p>
    <w:p>
      <w:pPr>
        <w:pStyle w:val="BodyText"/>
        <w:spacing w:line="74" w:lineRule="exact"/>
        <w:ind w:left="660"/>
        <w:rPr>
          <w:rFonts w:ascii="Arial"/>
          <w:sz w:val="7"/>
        </w:rPr>
      </w:pPr>
      <w:r>
        <w:rPr>
          <w:rFonts w:ascii="Arial"/>
          <w:position w:val="0"/>
          <w:sz w:val="7"/>
        </w:rPr>
        <w:pict>
          <v:group style="width:42.95pt;height:3.35pt;mso-position-horizontal-relative:char;mso-position-vertical-relative:line" coordorigin="0,0" coordsize="859,67">
            <v:line style="position:absolute" from="3,33" to="855,33" stroked="true" strokeweight=".329811pt" strokecolor="#000000">
              <v:stroke dashstyle="solid"/>
            </v:line>
            <v:line style="position:absolute" from="3,33" to="3,33" stroked="true" strokeweight=".329811pt" strokecolor="#000000">
              <v:stroke dashstyle="solid"/>
            </v:line>
            <v:line style="position:absolute" from="3,33" to="3,66" stroked="true" strokeweight=".329755pt" strokecolor="#000000">
              <v:stroke dashstyle="solid"/>
            </v:line>
            <v:line style="position:absolute" from="3,33" to="3,33" stroked="true" strokeweight=".329811pt" strokecolor="#000000">
              <v:stroke dashstyle="solid"/>
            </v:line>
            <v:line style="position:absolute" from="3,33" to="3,33" stroked="true" strokeweight=".329811pt" strokecolor="#000000">
              <v:stroke dashstyle="solid"/>
            </v:line>
            <v:line style="position:absolute" from="855,33" to="855,33" stroked="true" strokeweight=".329811pt" strokecolor="#000000">
              <v:stroke dashstyle="solid"/>
            </v:line>
            <v:line style="position:absolute" from="855,33" to="855,0" stroked="true" strokeweight=".329755pt" strokecolor="#000000">
              <v:stroke dashstyle="solid"/>
            </v:line>
            <v:line style="position:absolute" from="855,33" to="855,33" stroked="true" strokeweight=".329811pt" strokecolor="#000000">
              <v:stroke dashstyle="solid"/>
            </v:line>
            <v:line style="position:absolute" from="855,33" to="855,33" stroked="true" strokeweight=".329811pt" strokecolor="#000000">
              <v:stroke dashstyle="solid"/>
            </v:line>
          </v:group>
        </w:pict>
      </w:r>
      <w:r>
        <w:rPr>
          <w:rFonts w:ascii="Arial"/>
          <w:position w:val="0"/>
          <w:sz w:val="7"/>
        </w:rPr>
      </w:r>
    </w:p>
    <w:p>
      <w:pPr>
        <w:tabs>
          <w:tab w:pos="2658" w:val="left" w:leader="none"/>
        </w:tabs>
        <w:spacing w:before="56"/>
        <w:ind w:left="645" w:right="0" w:firstLine="0"/>
        <w:jc w:val="left"/>
        <w:rPr>
          <w:rFonts w:ascii="Arial"/>
          <w:sz w:val="8"/>
        </w:rPr>
      </w:pPr>
      <w:r>
        <w:rPr>
          <w:rFonts w:ascii="Arial"/>
          <w:w w:val="105"/>
          <w:position w:val="1"/>
          <w:sz w:val="8"/>
        </w:rPr>
        <w:t>0</w:t>
        <w:tab/>
      </w:r>
      <w:r>
        <w:rPr>
          <w:rFonts w:ascii="Arial"/>
          <w:w w:val="105"/>
          <w:sz w:val="8"/>
        </w:rPr>
        <w:t>0</w:t>
      </w:r>
    </w:p>
    <w:p>
      <w:pPr>
        <w:pStyle w:val="BodyText"/>
        <w:spacing w:line="74" w:lineRule="exact"/>
        <w:ind w:left="660"/>
        <w:rPr>
          <w:rFonts w:ascii="Arial"/>
          <w:sz w:val="7"/>
        </w:rPr>
      </w:pPr>
      <w:r>
        <w:rPr>
          <w:rFonts w:ascii="Arial"/>
          <w:position w:val="0"/>
          <w:sz w:val="7"/>
        </w:rPr>
        <w:pict>
          <v:group style="width:101pt;height:3.35pt;mso-position-horizontal-relative:char;mso-position-vertical-relative:line" coordorigin="0,0" coordsize="2020,67">
            <v:line style="position:absolute" from="3,33" to="2016,33" stroked="true" strokeweight=".329811pt" strokecolor="#000000">
              <v:stroke dashstyle="solid"/>
            </v:line>
            <v:line style="position:absolute" from="3,33" to="3,33" stroked="true" strokeweight=".329811pt" strokecolor="#000000">
              <v:stroke dashstyle="solid"/>
            </v:line>
            <v:line style="position:absolute" from="3,33" to="3,66" stroked="true" strokeweight=".329755pt" strokecolor="#000000">
              <v:stroke dashstyle="solid"/>
            </v:line>
            <v:line style="position:absolute" from="3,33" to="3,33" stroked="true" strokeweight=".329811pt" strokecolor="#000000">
              <v:stroke dashstyle="solid"/>
            </v:line>
            <v:line style="position:absolute" from="3,33" to="3,33" stroked="true" strokeweight=".329811pt" strokecolor="#000000">
              <v:stroke dashstyle="solid"/>
            </v:line>
            <v:line style="position:absolute" from="2016,33" to="2016,33" stroked="true" strokeweight=".329811pt" strokecolor="#000000">
              <v:stroke dashstyle="solid"/>
            </v:line>
            <v:line style="position:absolute" from="2016,33" to="2016,0" stroked="true" strokeweight=".329755pt" strokecolor="#000000">
              <v:stroke dashstyle="solid"/>
            </v:line>
            <v:line style="position:absolute" from="2016,33" to="2016,33" stroked="true" strokeweight=".329811pt" strokecolor="#000000">
              <v:stroke dashstyle="solid"/>
            </v:line>
            <v:line style="position:absolute" from="2016,33" to="2016,33" stroked="true" strokeweight=".329811pt" strokecolor="#000000">
              <v:stroke dashstyle="solid"/>
            </v:line>
          </v:group>
        </w:pict>
      </w:r>
      <w:r>
        <w:rPr>
          <w:rFonts w:ascii="Arial"/>
          <w:position w:val="0"/>
          <w:sz w:val="7"/>
        </w:rPr>
      </w:r>
    </w:p>
    <w:p>
      <w:pPr>
        <w:spacing w:before="59"/>
        <w:ind w:left="645" w:right="0" w:firstLine="0"/>
        <w:jc w:val="left"/>
        <w:rPr>
          <w:rFonts w:ascii="Arial"/>
          <w:sz w:val="8"/>
        </w:rPr>
      </w:pPr>
      <w:r>
        <w:rPr>
          <w:rFonts w:ascii="Arial"/>
          <w:w w:val="107"/>
          <w:sz w:val="8"/>
        </w:rPr>
        <w:t>1</w:t>
      </w:r>
    </w:p>
    <w:p>
      <w:pPr>
        <w:pStyle w:val="BodyText"/>
        <w:ind w:left="0"/>
        <w:rPr>
          <w:rFonts w:ascii="Arial"/>
          <w:sz w:val="5"/>
        </w:rPr>
      </w:pPr>
    </w:p>
    <w:p>
      <w:pPr>
        <w:pStyle w:val="BodyText"/>
        <w:spacing w:line="41" w:lineRule="exact"/>
        <w:ind w:left="660"/>
        <w:rPr>
          <w:rFonts w:ascii="Arial"/>
          <w:sz w:val="4"/>
        </w:rPr>
      </w:pPr>
      <w:r>
        <w:rPr>
          <w:rFonts w:ascii="Arial"/>
          <w:position w:val="0"/>
          <w:sz w:val="4"/>
        </w:rPr>
        <w:pict>
          <v:group style="width:270.95pt;height:1.85pt;mso-position-horizontal-relative:char;mso-position-vertical-relative:line" coordorigin="0,0" coordsize="5419,37">
            <v:line style="position:absolute" from="3,3" to="5416,3" stroked="true" strokeweight=".329811pt" strokecolor="#000000">
              <v:stroke dashstyle="solid"/>
            </v:line>
            <v:line style="position:absolute" from="3,3" to="3,36" stroked="true" strokeweight=".329755pt" strokecolor="#000000">
              <v:stroke dashstyle="solid"/>
            </v:line>
            <v:line style="position:absolute" from="452,3" to="452,36" stroked="true" strokeweight=".329755pt" strokecolor="#000000">
              <v:stroke dashstyle="solid"/>
            </v:line>
            <v:line style="position:absolute" from="907,3" to="907,36" stroked="true" strokeweight=".329755pt" strokecolor="#000000">
              <v:stroke dashstyle="solid"/>
            </v:line>
            <v:line style="position:absolute" from="1356,3" to="1356,36" stroked="true" strokeweight=".329755pt" strokecolor="#000000">
              <v:stroke dashstyle="solid"/>
            </v:line>
            <v:line style="position:absolute" from="1805,3" to="1805,36" stroked="true" strokeweight=".329755pt" strokecolor="#000000">
              <v:stroke dashstyle="solid"/>
            </v:line>
            <v:line style="position:absolute" from="2261,3" to="2261,36" stroked="true" strokeweight=".329755pt" strokecolor="#000000">
              <v:stroke dashstyle="solid"/>
            </v:line>
            <v:line style="position:absolute" from="2710,3" to="2710,36" stroked="true" strokeweight=".329755pt" strokecolor="#000000">
              <v:stroke dashstyle="solid"/>
            </v:line>
            <v:line style="position:absolute" from="3158,3" to="3158,36" stroked="true" strokeweight=".329755pt" strokecolor="#000000">
              <v:stroke dashstyle="solid"/>
            </v:line>
            <v:line style="position:absolute" from="3614,3" to="3614,36" stroked="true" strokeweight=".329755pt" strokecolor="#000000">
              <v:stroke dashstyle="solid"/>
            </v:line>
            <v:line style="position:absolute" from="4063,3" to="4063,36" stroked="true" strokeweight=".329755pt" strokecolor="#000000">
              <v:stroke dashstyle="solid"/>
            </v:line>
            <v:line style="position:absolute" from="4511,3" to="4511,36" stroked="true" strokeweight=".329755pt" strokecolor="#000000">
              <v:stroke dashstyle="solid"/>
            </v:line>
            <v:line style="position:absolute" from="4967,3" to="4967,36" stroked="true" strokeweight=".329755pt" strokecolor="#000000">
              <v:stroke dashstyle="solid"/>
            </v:line>
            <v:line style="position:absolute" from="5416,3" to="5416,36" stroked="true" strokeweight=".329755pt" strokecolor="#000000">
              <v:stroke dashstyle="solid"/>
            </v:line>
            <v:line style="position:absolute" from="3,3" to="5416,3" stroked="true" strokeweight=".329811pt" strokecolor="#000000">
              <v:stroke dashstyle="solid"/>
            </v:line>
            <v:line style="position:absolute" from="3,3" to="3,3" stroked="true" strokeweight=".329811pt" strokecolor="#000000">
              <v:stroke dashstyle="solid"/>
            </v:line>
            <v:line style="position:absolute" from="452,3" to="452,3" stroked="true" strokeweight=".329811pt" strokecolor="#000000">
              <v:stroke dashstyle="solid"/>
            </v:line>
            <v:line style="position:absolute" from="907,3" to="907,3" stroked="true" strokeweight=".329811pt" strokecolor="#000000">
              <v:stroke dashstyle="solid"/>
            </v:line>
            <v:line style="position:absolute" from="1356,3" to="1356,3" stroked="true" strokeweight=".329811pt" strokecolor="#000000">
              <v:stroke dashstyle="solid"/>
            </v:line>
            <v:line style="position:absolute" from="1805,3" to="1805,3" stroked="true" strokeweight=".329811pt" strokecolor="#000000">
              <v:stroke dashstyle="solid"/>
            </v:line>
            <v:line style="position:absolute" from="2261,3" to="2261,3" stroked="true" strokeweight=".329811pt" strokecolor="#000000">
              <v:stroke dashstyle="solid"/>
            </v:line>
            <v:line style="position:absolute" from="2710,3" to="2710,3" stroked="true" strokeweight=".329811pt" strokecolor="#000000">
              <v:stroke dashstyle="solid"/>
            </v:line>
            <v:line style="position:absolute" from="3158,3" to="3158,3" stroked="true" strokeweight=".329811pt" strokecolor="#000000">
              <v:stroke dashstyle="solid"/>
            </v:line>
            <v:line style="position:absolute" from="3614,3" to="3614,3" stroked="true" strokeweight=".329811pt" strokecolor="#000000">
              <v:stroke dashstyle="solid"/>
            </v:line>
            <v:line style="position:absolute" from="4063,3" to="4063,3" stroked="true" strokeweight=".329811pt" strokecolor="#000000">
              <v:stroke dashstyle="solid"/>
            </v:line>
            <v:line style="position:absolute" from="4511,3" to="4511,3" stroked="true" strokeweight=".329811pt" strokecolor="#000000">
              <v:stroke dashstyle="solid"/>
            </v:line>
            <v:line style="position:absolute" from="4967,3" to="4967,3" stroked="true" strokeweight=".329811pt" strokecolor="#000000">
              <v:stroke dashstyle="solid"/>
            </v:line>
            <v:line style="position:absolute" from="5416,3" to="5416,3" stroked="true" strokeweight=".329811pt" strokecolor="#000000">
              <v:stroke dashstyle="solid"/>
            </v:line>
            <v:line style="position:absolute" from="3,3" to="5416,3" stroked="true" strokeweight=".329811pt" strokecolor="#000000">
              <v:stroke dashstyle="solid"/>
            </v:line>
            <v:line style="position:absolute" from="3,3" to="3,16" stroked="true" strokeweight=".329755pt" strokecolor="#000000">
              <v:stroke dashstyle="solid"/>
            </v:line>
            <v:line style="position:absolute" from="96,3" to="96,16" stroked="true" strokeweight=".329755pt" strokecolor="#000000">
              <v:stroke dashstyle="solid"/>
            </v:line>
            <v:line style="position:absolute" from="182,3" to="182,16" stroked="true" strokeweight=".329755pt" strokecolor="#000000">
              <v:stroke dashstyle="solid"/>
            </v:line>
            <v:line style="position:absolute" from="274,3" to="274,16" stroked="true" strokeweight=".329755pt" strokecolor="#000000">
              <v:stroke dashstyle="solid"/>
            </v:line>
            <v:line style="position:absolute" from="366,3" to="366,16" stroked="true" strokeweight=".329755pt" strokecolor="#000000">
              <v:stroke dashstyle="solid"/>
            </v:line>
            <v:line style="position:absolute" from="452,3" to="452,16" stroked="true" strokeweight=".329755pt" strokecolor="#000000">
              <v:stroke dashstyle="solid"/>
            </v:line>
            <v:line style="position:absolute" from="545,3" to="545,16" stroked="true" strokeweight=".329755pt" strokecolor="#000000">
              <v:stroke dashstyle="solid"/>
            </v:line>
            <v:line style="position:absolute" from="637,3" to="637,16" stroked="true" strokeweight=".329755pt" strokecolor="#000000">
              <v:stroke dashstyle="solid"/>
            </v:line>
            <v:line style="position:absolute" from="723,3" to="723,16" stroked="true" strokeweight=".329755pt" strokecolor="#000000">
              <v:stroke dashstyle="solid"/>
            </v:line>
            <v:line style="position:absolute" from="815,3" to="815,16" stroked="true" strokeweight=".329755pt" strokecolor="#000000">
              <v:stroke dashstyle="solid"/>
            </v:line>
            <v:line style="position:absolute" from="907,3" to="907,16" stroked="true" strokeweight=".329755pt" strokecolor="#000000">
              <v:stroke dashstyle="solid"/>
            </v:line>
            <v:line style="position:absolute" from="993,3" to="993,16" stroked="true" strokeweight=".329755pt" strokecolor="#000000">
              <v:stroke dashstyle="solid"/>
            </v:line>
            <v:line style="position:absolute" from="1086,3" to="1086,16" stroked="true" strokeweight=".329755pt" strokecolor="#000000">
              <v:stroke dashstyle="solid"/>
            </v:line>
            <v:line style="position:absolute" from="1178,3" to="1178,16" stroked="true" strokeweight=".329755pt" strokecolor="#000000">
              <v:stroke dashstyle="solid"/>
            </v:line>
            <v:line style="position:absolute" from="1264,3" to="1264,16" stroked="true" strokeweight=".329755pt" strokecolor="#000000">
              <v:stroke dashstyle="solid"/>
            </v:line>
            <v:line style="position:absolute" from="1356,3" to="1356,16" stroked="true" strokeweight=".329755pt" strokecolor="#000000">
              <v:stroke dashstyle="solid"/>
            </v:line>
            <v:line style="position:absolute" from="1449,3" to="1449,16" stroked="true" strokeweight=".329755pt" strokecolor="#000000">
              <v:stroke dashstyle="solid"/>
            </v:line>
            <v:line style="position:absolute" from="1535,3" to="1535,16" stroked="true" strokeweight=".329755pt" strokecolor="#000000">
              <v:stroke dashstyle="solid"/>
            </v:line>
            <v:line style="position:absolute" from="1627,3" to="1627,16" stroked="true" strokeweight=".329755pt" strokecolor="#000000">
              <v:stroke dashstyle="solid"/>
            </v:line>
            <v:line style="position:absolute" from="1719,3" to="1719,16" stroked="true" strokeweight=".329755pt" strokecolor="#000000">
              <v:stroke dashstyle="solid"/>
            </v:line>
            <v:line style="position:absolute" from="1805,3" to="1805,16" stroked="true" strokeweight=".329755pt" strokecolor="#000000">
              <v:stroke dashstyle="solid"/>
            </v:line>
            <v:line style="position:absolute" from="1898,3" to="1898,16" stroked="true" strokeweight=".329755pt" strokecolor="#000000">
              <v:stroke dashstyle="solid"/>
            </v:line>
            <v:line style="position:absolute" from="1990,3" to="1990,16" stroked="true" strokeweight=".329755pt" strokecolor="#000000">
              <v:stroke dashstyle="solid"/>
            </v:line>
            <v:line style="position:absolute" from="2076,3" to="2076,16" stroked="true" strokeweight=".329755pt" strokecolor="#000000">
              <v:stroke dashstyle="solid"/>
            </v:line>
            <v:line style="position:absolute" from="2168,3" to="2168,16" stroked="true" strokeweight=".329755pt" strokecolor="#000000">
              <v:stroke dashstyle="solid"/>
            </v:line>
            <v:line style="position:absolute" from="2261,3" to="2261,16" stroked="true" strokeweight=".329755pt" strokecolor="#000000">
              <v:stroke dashstyle="solid"/>
            </v:line>
            <v:line style="position:absolute" from="2347,3" to="2347,16" stroked="true" strokeweight=".329755pt" strokecolor="#000000">
              <v:stroke dashstyle="solid"/>
            </v:line>
            <v:line style="position:absolute" from="2439,3" to="2439,16" stroked="true" strokeweight=".329755pt" strokecolor="#000000">
              <v:stroke dashstyle="solid"/>
            </v:line>
            <v:line style="position:absolute" from="2531,3" to="2531,16" stroked="true" strokeweight=".329755pt" strokecolor="#000000">
              <v:stroke dashstyle="solid"/>
            </v:line>
            <v:line style="position:absolute" from="2617,3" to="2617,16" stroked="true" strokeweight=".329755pt" strokecolor="#000000">
              <v:stroke dashstyle="solid"/>
            </v:line>
            <v:line style="position:absolute" from="2710,3" to="2710,16" stroked="true" strokeweight=".329755pt" strokecolor="#000000">
              <v:stroke dashstyle="solid"/>
            </v:line>
            <v:line style="position:absolute" from="2802,3" to="2802,16" stroked="true" strokeweight=".329755pt" strokecolor="#000000">
              <v:stroke dashstyle="solid"/>
            </v:line>
            <v:line style="position:absolute" from="2888,3" to="2888,16" stroked="true" strokeweight=".329755pt" strokecolor="#000000">
              <v:stroke dashstyle="solid"/>
            </v:line>
            <v:line style="position:absolute" from="2980,3" to="2980,16" stroked="true" strokeweight=".329755pt" strokecolor="#000000">
              <v:stroke dashstyle="solid"/>
            </v:line>
            <v:line style="position:absolute" from="3072,3" to="3072,16" stroked="true" strokeweight=".329755pt" strokecolor="#000000">
              <v:stroke dashstyle="solid"/>
            </v:line>
            <v:line style="position:absolute" from="3158,3" to="3158,16" stroked="true" strokeweight=".329755pt" strokecolor="#000000">
              <v:stroke dashstyle="solid"/>
            </v:line>
            <v:line style="position:absolute" from="3251,3" to="3251,16" stroked="true" strokeweight=".329755pt" strokecolor="#000000">
              <v:stroke dashstyle="solid"/>
            </v:line>
            <v:line style="position:absolute" from="3343,3" to="3343,16" stroked="true" strokeweight=".329755pt" strokecolor="#000000">
              <v:stroke dashstyle="solid"/>
            </v:line>
            <v:line style="position:absolute" from="3429,3" to="3429,16" stroked="true" strokeweight=".329755pt" strokecolor="#000000">
              <v:stroke dashstyle="solid"/>
            </v:line>
            <v:line style="position:absolute" from="3521,3" to="3521,16" stroked="true" strokeweight=".329755pt" strokecolor="#000000">
              <v:stroke dashstyle="solid"/>
            </v:line>
            <v:line style="position:absolute" from="3614,3" to="3614,16" stroked="true" strokeweight=".329755pt" strokecolor="#000000">
              <v:stroke dashstyle="solid"/>
            </v:line>
            <v:line style="position:absolute" from="3700,3" to="3700,16" stroked="true" strokeweight=".329755pt" strokecolor="#000000">
              <v:stroke dashstyle="solid"/>
            </v:line>
            <v:line style="position:absolute" from="3792,3" to="3792,16" stroked="true" strokeweight=".329755pt" strokecolor="#000000">
              <v:stroke dashstyle="solid"/>
            </v:line>
            <v:line style="position:absolute" from="3884,3" to="3884,16" stroked="true" strokeweight=".329755pt" strokecolor="#000000">
              <v:stroke dashstyle="solid"/>
            </v:line>
            <v:line style="position:absolute" from="3970,3" to="3970,16" stroked="true" strokeweight=".329755pt" strokecolor="#000000">
              <v:stroke dashstyle="solid"/>
            </v:line>
            <v:line style="position:absolute" from="4063,3" to="4063,16" stroked="true" strokeweight=".329755pt" strokecolor="#000000">
              <v:stroke dashstyle="solid"/>
            </v:line>
            <v:line style="position:absolute" from="4155,3" to="4155,16" stroked="true" strokeweight=".329755pt" strokecolor="#000000">
              <v:stroke dashstyle="solid"/>
            </v:line>
            <v:line style="position:absolute" from="4241,3" to="4241,16" stroked="true" strokeweight=".329755pt" strokecolor="#000000">
              <v:stroke dashstyle="solid"/>
            </v:line>
            <v:line style="position:absolute" from="4333,3" to="4333,16" stroked="true" strokeweight=".329755pt" strokecolor="#000000">
              <v:stroke dashstyle="solid"/>
            </v:line>
            <v:line style="position:absolute" from="4426,3" to="4426,16" stroked="true" strokeweight=".329755pt" strokecolor="#000000">
              <v:stroke dashstyle="solid"/>
            </v:line>
            <v:line style="position:absolute" from="4511,3" to="4511,16" stroked="true" strokeweight=".329755pt" strokecolor="#000000">
              <v:stroke dashstyle="solid"/>
            </v:line>
            <v:line style="position:absolute" from="4604,3" to="4604,16" stroked="true" strokeweight=".329755pt" strokecolor="#000000">
              <v:stroke dashstyle="solid"/>
            </v:line>
            <v:line style="position:absolute" from="4696,3" to="4696,16" stroked="true" strokeweight=".329755pt" strokecolor="#000000">
              <v:stroke dashstyle="solid"/>
            </v:line>
            <v:line style="position:absolute" from="4782,3" to="4782,16" stroked="true" strokeweight=".329755pt" strokecolor="#000000">
              <v:stroke dashstyle="solid"/>
            </v:line>
            <v:line style="position:absolute" from="4874,3" to="4874,16" stroked="true" strokeweight=".329755pt" strokecolor="#000000">
              <v:stroke dashstyle="solid"/>
            </v:line>
            <v:line style="position:absolute" from="4967,3" to="4967,16" stroked="true" strokeweight=".329755pt" strokecolor="#000000">
              <v:stroke dashstyle="solid"/>
            </v:line>
            <v:line style="position:absolute" from="5053,3" to="5053,16" stroked="true" strokeweight=".329755pt" strokecolor="#000000">
              <v:stroke dashstyle="solid"/>
            </v:line>
            <v:line style="position:absolute" from="5145,3" to="5145,16" stroked="true" strokeweight=".329755pt" strokecolor="#000000">
              <v:stroke dashstyle="solid"/>
            </v:line>
            <v:line style="position:absolute" from="5237,3" to="5237,16" stroked="true" strokeweight=".329755pt" strokecolor="#000000">
              <v:stroke dashstyle="solid"/>
            </v:line>
            <v:line style="position:absolute" from="5323,3" to="5323,16" stroked="true" strokeweight=".329755pt" strokecolor="#000000">
              <v:stroke dashstyle="solid"/>
            </v:line>
            <v:line style="position:absolute" from="5416,3" to="5416,16" stroked="true" strokeweight=".329755pt" strokecolor="#000000">
              <v:stroke dashstyle="solid"/>
            </v:line>
          </v:group>
        </w:pict>
      </w:r>
      <w:r>
        <w:rPr>
          <w:rFonts w:ascii="Arial"/>
          <w:position w:val="0"/>
          <w:sz w:val="4"/>
        </w:rPr>
      </w:r>
    </w:p>
    <w:p>
      <w:pPr>
        <w:spacing w:after="0" w:line="41" w:lineRule="exact"/>
        <w:rPr>
          <w:rFonts w:ascii="Arial"/>
          <w:sz w:val="4"/>
        </w:rPr>
        <w:sectPr>
          <w:type w:val="continuous"/>
          <w:pgSz w:w="11910" w:h="16850"/>
          <w:pgMar w:top="1080" w:bottom="1020" w:left="1060" w:right="0"/>
          <w:cols w:num="2" w:equalWidth="0">
            <w:col w:w="1226" w:space="649"/>
            <w:col w:w="8975"/>
          </w:cols>
        </w:sectPr>
      </w:pPr>
    </w:p>
    <w:p>
      <w:pPr>
        <w:pStyle w:val="BodyText"/>
        <w:spacing w:before="6"/>
        <w:ind w:left="0"/>
        <w:rPr>
          <w:rFonts w:ascii="Arial"/>
          <w:sz w:val="9"/>
        </w:rPr>
      </w:pPr>
    </w:p>
    <w:p>
      <w:pPr>
        <w:spacing w:line="482" w:lineRule="auto" w:before="1"/>
        <w:ind w:left="645" w:right="7" w:firstLine="0"/>
        <w:jc w:val="left"/>
        <w:rPr>
          <w:rFonts w:ascii="Arial"/>
          <w:sz w:val="10"/>
        </w:rPr>
      </w:pPr>
      <w:r>
        <w:rPr>
          <w:rFonts w:ascii="Arial"/>
          <w:w w:val="105"/>
          <w:sz w:val="10"/>
        </w:rPr>
        <w:t>3-year survival 5-year survival 10-year survival</w:t>
      </w:r>
    </w:p>
    <w:p>
      <w:pPr>
        <w:tabs>
          <w:tab w:pos="1179" w:val="left" w:leader="none"/>
          <w:tab w:pos="1634" w:val="left" w:leader="none"/>
          <w:tab w:pos="2083" w:val="left" w:leader="none"/>
          <w:tab w:pos="2532" w:val="left" w:leader="none"/>
          <w:tab w:pos="2968" w:val="left" w:leader="none"/>
          <w:tab w:pos="3417" w:val="left" w:leader="none"/>
          <w:tab w:pos="3865" w:val="left" w:leader="none"/>
          <w:tab w:pos="4321" w:val="left" w:leader="none"/>
          <w:tab w:pos="4770" w:val="left" w:leader="none"/>
          <w:tab w:pos="5219" w:val="left" w:leader="none"/>
          <w:tab w:pos="5674" w:val="left" w:leader="none"/>
          <w:tab w:pos="6123" w:val="left" w:leader="none"/>
        </w:tabs>
        <w:spacing w:before="10"/>
        <w:ind w:left="757" w:right="0" w:firstLine="0"/>
        <w:jc w:val="left"/>
        <w:rPr>
          <w:rFonts w:ascii="Arial"/>
          <w:sz w:val="8"/>
        </w:rPr>
      </w:pPr>
      <w:r>
        <w:rPr/>
        <w:br w:type="column"/>
      </w:r>
      <w:r>
        <w:rPr>
          <w:rFonts w:ascii="Arial"/>
          <w:w w:val="105"/>
          <w:sz w:val="8"/>
        </w:rPr>
        <w:t>0</w:t>
        <w:tab/>
        <w:t>20</w:t>
        <w:tab/>
        <w:t>40</w:t>
        <w:tab/>
        <w:t>60</w:t>
        <w:tab/>
        <w:t>80</w:t>
        <w:tab/>
        <w:t>100</w:t>
        <w:tab/>
        <w:t>120</w:t>
        <w:tab/>
        <w:t>140</w:t>
        <w:tab/>
        <w:t>160</w:t>
        <w:tab/>
        <w:t>180</w:t>
        <w:tab/>
        <w:t>200</w:t>
        <w:tab/>
        <w:t>220</w:t>
        <w:tab/>
      </w:r>
      <w:r>
        <w:rPr>
          <w:rFonts w:ascii="Arial"/>
          <w:spacing w:val="-2"/>
          <w:w w:val="105"/>
          <w:sz w:val="8"/>
        </w:rPr>
        <w:t>240</w:t>
      </w:r>
    </w:p>
    <w:p>
      <w:pPr>
        <w:pStyle w:val="BodyText"/>
        <w:spacing w:before="1"/>
        <w:ind w:left="0"/>
        <w:rPr>
          <w:rFonts w:ascii="Arial"/>
          <w:sz w:val="5"/>
        </w:rPr>
      </w:pPr>
    </w:p>
    <w:p>
      <w:pPr>
        <w:pStyle w:val="BodyText"/>
        <w:spacing w:line="40" w:lineRule="exact"/>
        <w:ind w:left="1136"/>
        <w:rPr>
          <w:rFonts w:ascii="Arial"/>
          <w:sz w:val="4"/>
        </w:rPr>
      </w:pPr>
      <w:r>
        <w:rPr>
          <w:rFonts w:ascii="Arial"/>
          <w:position w:val="0"/>
          <w:sz w:val="4"/>
        </w:rPr>
        <w:pict>
          <v:group style="width:211.25pt;height:1.85pt;mso-position-horizontal-relative:char;mso-position-vertical-relative:line" coordorigin="0,0" coordsize="4225,37">
            <v:line style="position:absolute" from="3,3" to="3,3" stroked="true" strokeweight=".329811pt" strokecolor="#000000">
              <v:stroke dashstyle="solid"/>
            </v:line>
            <v:line style="position:absolute" from="3,3" to="3,36" stroked="true" strokeweight=".329755pt" strokecolor="#000000">
              <v:stroke dashstyle="solid"/>
            </v:line>
            <v:line style="position:absolute" from="505,3" to="505,3" stroked="true" strokeweight=".329811pt" strokecolor="#000000">
              <v:stroke dashstyle="solid"/>
            </v:line>
            <v:line style="position:absolute" from="505,3" to="505,36" stroked="true" strokeweight=".329755pt" strokecolor="#000000">
              <v:stroke dashstyle="solid"/>
            </v:line>
            <v:line style="position:absolute" from="907,3" to="907,3" stroked="true" strokeweight=".329811pt" strokecolor="#000000">
              <v:stroke dashstyle="solid"/>
            </v:line>
            <v:line style="position:absolute" from="907,3" to="907,36" stroked="true" strokeweight=".329755pt" strokecolor="#000000">
              <v:stroke dashstyle="solid"/>
            </v:line>
            <v:line style="position:absolute" from="1251,3" to="1251,3" stroked="true" strokeweight=".329811pt" strokecolor="#000000">
              <v:stroke dashstyle="solid"/>
            </v:line>
            <v:line style="position:absolute" from="1251,3" to="1251,36" stroked="true" strokeweight=".329755pt" strokecolor="#000000">
              <v:stroke dashstyle="solid"/>
            </v:line>
            <v:line style="position:absolute" from="1554,3" to="1554,3" stroked="true" strokeweight=".329811pt" strokecolor="#000000">
              <v:stroke dashstyle="solid"/>
            </v:line>
            <v:line style="position:absolute" from="1554,3" to="1554,36" stroked="true" strokeweight=".329755pt" strokecolor="#000000">
              <v:stroke dashstyle="solid"/>
            </v:line>
            <v:line style="position:absolute" from="1825,3" to="1825,3" stroked="true" strokeweight=".329811pt" strokecolor="#000000">
              <v:stroke dashstyle="solid"/>
            </v:line>
            <v:line style="position:absolute" from="1825,3" to="1825,36" stroked="true" strokeweight=".329755pt" strokecolor="#000000">
              <v:stroke dashstyle="solid"/>
            </v:line>
            <v:line style="position:absolute" from="2076,3" to="2076,3" stroked="true" strokeweight=".329811pt" strokecolor="#000000">
              <v:stroke dashstyle="solid"/>
            </v:line>
            <v:line style="position:absolute" from="2076,3" to="2076,36" stroked="true" strokeweight=".329755pt" strokecolor="#000000">
              <v:stroke dashstyle="solid"/>
            </v:line>
            <v:line style="position:absolute" from="2307,3" to="2307,3" stroked="true" strokeweight=".329811pt" strokecolor="#000000">
              <v:stroke dashstyle="solid"/>
            </v:line>
            <v:line style="position:absolute" from="2307,3" to="2307,36" stroked="true" strokeweight=".329755pt" strokecolor="#000000">
              <v:stroke dashstyle="solid"/>
            </v:line>
            <v:line style="position:absolute" from="2531,3" to="2531,3" stroked="true" strokeweight=".329811pt" strokecolor="#000000">
              <v:stroke dashstyle="solid"/>
            </v:line>
            <v:line style="position:absolute" from="2531,3" to="2531,36" stroked="true" strokeweight=".329755pt" strokecolor="#000000">
              <v:stroke dashstyle="solid"/>
            </v:line>
            <v:line style="position:absolute" from="2749,3" to="2749,3" stroked="true" strokeweight=".329811pt" strokecolor="#000000">
              <v:stroke dashstyle="solid"/>
            </v:line>
            <v:line style="position:absolute" from="2749,3" to="2749,36" stroked="true" strokeweight=".329755pt" strokecolor="#000000">
              <v:stroke dashstyle="solid"/>
            </v:line>
            <v:line style="position:absolute" from="2967,3" to="2967,3" stroked="true" strokeweight=".329811pt" strokecolor="#000000">
              <v:stroke dashstyle="solid"/>
            </v:line>
            <v:line style="position:absolute" from="2967,3" to="2967,36" stroked="true" strokeweight=".329755pt" strokecolor="#000000">
              <v:stroke dashstyle="solid"/>
            </v:line>
            <v:line style="position:absolute" from="3185,3" to="3185,3" stroked="true" strokeweight=".329811pt" strokecolor="#000000">
              <v:stroke dashstyle="solid"/>
            </v:line>
            <v:line style="position:absolute" from="3185,3" to="3185,36" stroked="true" strokeweight=".329755pt" strokecolor="#000000">
              <v:stroke dashstyle="solid"/>
            </v:line>
            <v:line style="position:absolute" from="3409,3" to="3409,3" stroked="true" strokeweight=".329811pt" strokecolor="#000000">
              <v:stroke dashstyle="solid"/>
            </v:line>
            <v:line style="position:absolute" from="3409,3" to="3409,36" stroked="true" strokeweight=".329755pt" strokecolor="#000000">
              <v:stroke dashstyle="solid"/>
            </v:line>
            <v:line style="position:absolute" from="3647,3" to="3647,3" stroked="true" strokeweight=".329811pt" strokecolor="#000000">
              <v:stroke dashstyle="solid"/>
            </v:line>
            <v:line style="position:absolute" from="3647,3" to="3647,36" stroked="true" strokeweight=".329755pt" strokecolor="#000000">
              <v:stroke dashstyle="solid"/>
            </v:line>
            <v:line style="position:absolute" from="3911,3" to="3911,3" stroked="true" strokeweight=".329811pt" strokecolor="#000000">
              <v:stroke dashstyle="solid"/>
            </v:line>
            <v:line style="position:absolute" from="3911,3" to="3911,36" stroked="true" strokeweight=".329755pt" strokecolor="#000000">
              <v:stroke dashstyle="solid"/>
            </v:line>
            <v:line style="position:absolute" from="4221,3" to="4221,3" stroked="true" strokeweight=".329811pt" strokecolor="#000000">
              <v:stroke dashstyle="solid"/>
            </v:line>
            <v:line style="position:absolute" from="4221,3" to="4221,36" stroked="true" strokeweight=".329755pt" strokecolor="#000000">
              <v:stroke dashstyle="solid"/>
            </v:line>
            <v:line style="position:absolute" from="3,3" to="4221,3" stroked="true" strokeweight=".329811pt" strokecolor="#000000">
              <v:stroke dashstyle="solid"/>
            </v:line>
          </v:group>
        </w:pict>
      </w:r>
      <w:r>
        <w:rPr>
          <w:rFonts w:ascii="Arial"/>
          <w:position w:val="0"/>
          <w:sz w:val="4"/>
        </w:rPr>
      </w:r>
    </w:p>
    <w:p>
      <w:pPr>
        <w:tabs>
          <w:tab w:pos="1582" w:val="left" w:leader="none"/>
          <w:tab w:pos="1965" w:val="left" w:leader="none"/>
        </w:tabs>
        <w:spacing w:before="41"/>
        <w:ind w:left="1060" w:right="0" w:firstLine="0"/>
        <w:jc w:val="left"/>
        <w:rPr>
          <w:rFonts w:ascii="Arial"/>
          <w:sz w:val="8"/>
        </w:rPr>
      </w:pPr>
      <w:r>
        <w:rPr>
          <w:rFonts w:ascii="Arial"/>
          <w:w w:val="105"/>
          <w:sz w:val="8"/>
        </w:rPr>
        <w:t>0.85</w:t>
        <w:tab/>
        <w:t>0.8</w:t>
        <w:tab/>
        <w:t>0.75 0.7 0.65 0.6 0.55 0.5 0.45 0.4 0.35 0.3 0.25 0.2 0.15</w:t>
      </w:r>
      <w:r>
        <w:rPr>
          <w:rFonts w:ascii="Arial"/>
          <w:spacing w:val="1"/>
          <w:w w:val="105"/>
          <w:sz w:val="8"/>
        </w:rPr>
        <w:t> </w:t>
      </w:r>
      <w:r>
        <w:rPr>
          <w:rFonts w:ascii="Arial"/>
          <w:w w:val="105"/>
          <w:sz w:val="8"/>
        </w:rPr>
        <w:t>0.1</w:t>
      </w:r>
    </w:p>
    <w:p>
      <w:pPr>
        <w:pStyle w:val="BodyText"/>
        <w:spacing w:before="1"/>
        <w:ind w:left="0"/>
        <w:rPr>
          <w:rFonts w:ascii="Arial"/>
          <w:sz w:val="5"/>
        </w:rPr>
      </w:pPr>
    </w:p>
    <w:p>
      <w:pPr>
        <w:pStyle w:val="BodyText"/>
        <w:spacing w:line="34" w:lineRule="exact"/>
        <w:ind w:left="957"/>
        <w:rPr>
          <w:rFonts w:ascii="Arial"/>
          <w:sz w:val="3"/>
        </w:rPr>
      </w:pPr>
      <w:r>
        <w:rPr>
          <w:rFonts w:ascii="Arial"/>
          <w:position w:val="0"/>
          <w:sz w:val="3"/>
        </w:rPr>
        <w:pict>
          <v:group style="width:186.15pt;height:1.5pt;mso-position-horizontal-relative:char;mso-position-vertical-relative:line" coordorigin="0,0" coordsize="3723,30">
            <v:line style="position:absolute" from="3,3" to="3,3" stroked="true" strokeweight=".329811pt" strokecolor="#000000">
              <v:stroke dashstyle="solid"/>
            </v:line>
            <v:line style="position:absolute" from="3,3" to="3,30" stroked="true" strokeweight=".329755pt" strokecolor="#000000">
              <v:stroke dashstyle="solid"/>
            </v:line>
            <v:line style="position:absolute" from="413,3" to="413,3" stroked="true" strokeweight=".329811pt" strokecolor="#000000">
              <v:stroke dashstyle="solid"/>
            </v:line>
            <v:line style="position:absolute" from="413,3" to="413,30" stroked="true" strokeweight=".329755pt" strokecolor="#000000">
              <v:stroke dashstyle="solid"/>
            </v:line>
            <v:line style="position:absolute" from="749,3" to="749,3" stroked="true" strokeweight=".329811pt" strokecolor="#000000">
              <v:stroke dashstyle="solid"/>
            </v:line>
            <v:line style="position:absolute" from="749,3" to="749,30" stroked="true" strokeweight=".329755pt" strokecolor="#000000">
              <v:stroke dashstyle="solid"/>
            </v:line>
            <v:line style="position:absolute" from="1053,3" to="1053,3" stroked="true" strokeweight=".329811pt" strokecolor="#000000">
              <v:stroke dashstyle="solid"/>
            </v:line>
            <v:line style="position:absolute" from="1053,3" to="1053,30" stroked="true" strokeweight=".329755pt" strokecolor="#000000">
              <v:stroke dashstyle="solid"/>
            </v:line>
            <v:line style="position:absolute" from="1323,3" to="1323,3" stroked="true" strokeweight=".329811pt" strokecolor="#000000">
              <v:stroke dashstyle="solid"/>
            </v:line>
            <v:line style="position:absolute" from="1323,3" to="1323,30" stroked="true" strokeweight=".329755pt" strokecolor="#000000">
              <v:stroke dashstyle="solid"/>
            </v:line>
            <v:line style="position:absolute" from="1574,3" to="1574,3" stroked="true" strokeweight=".329811pt" strokecolor="#000000">
              <v:stroke dashstyle="solid"/>
            </v:line>
            <v:line style="position:absolute" from="1574,3" to="1574,30" stroked="true" strokeweight=".329755pt" strokecolor="#000000">
              <v:stroke dashstyle="solid"/>
            </v:line>
            <v:line style="position:absolute" from="1812,3" to="1812,3" stroked="true" strokeweight=".329811pt" strokecolor="#000000">
              <v:stroke dashstyle="solid"/>
            </v:line>
            <v:line style="position:absolute" from="1812,3" to="1812,30" stroked="true" strokeweight=".329755pt" strokecolor="#000000">
              <v:stroke dashstyle="solid"/>
            </v:line>
            <v:line style="position:absolute" from="2036,3" to="2036,3" stroked="true" strokeweight=".329811pt" strokecolor="#000000">
              <v:stroke dashstyle="solid"/>
            </v:line>
            <v:line style="position:absolute" from="2036,3" to="2036,30" stroked="true" strokeweight=".329755pt" strokecolor="#000000">
              <v:stroke dashstyle="solid"/>
            </v:line>
            <v:line style="position:absolute" from="2254,3" to="2254,3" stroked="true" strokeweight=".329811pt" strokecolor="#000000">
              <v:stroke dashstyle="solid"/>
            </v:line>
            <v:line style="position:absolute" from="2254,3" to="2254,30" stroked="true" strokeweight=".329755pt" strokecolor="#000000">
              <v:stroke dashstyle="solid"/>
            </v:line>
            <v:line style="position:absolute" from="2472,3" to="2472,3" stroked="true" strokeweight=".329811pt" strokecolor="#000000">
              <v:stroke dashstyle="solid"/>
            </v:line>
            <v:line style="position:absolute" from="2472,3" to="2472,30" stroked="true" strokeweight=".329755pt" strokecolor="#000000">
              <v:stroke dashstyle="solid"/>
            </v:line>
            <v:line style="position:absolute" from="2690,3" to="2690,3" stroked="true" strokeweight=".329811pt" strokecolor="#000000">
              <v:stroke dashstyle="solid"/>
            </v:line>
            <v:line style="position:absolute" from="2690,3" to="2690,30" stroked="true" strokeweight=".329755pt" strokecolor="#000000">
              <v:stroke dashstyle="solid"/>
            </v:line>
            <v:line style="position:absolute" from="2914,3" to="2914,3" stroked="true" strokeweight=".329811pt" strokecolor="#000000">
              <v:stroke dashstyle="solid"/>
            </v:line>
            <v:line style="position:absolute" from="2914,3" to="2914,30" stroked="true" strokeweight=".329755pt" strokecolor="#000000">
              <v:stroke dashstyle="solid"/>
            </v:line>
            <v:line style="position:absolute" from="3152,3" to="3152,3" stroked="true" strokeweight=".329811pt" strokecolor="#000000">
              <v:stroke dashstyle="solid"/>
            </v:line>
            <v:line style="position:absolute" from="3152,3" to="3152,30" stroked="true" strokeweight=".329755pt" strokecolor="#000000">
              <v:stroke dashstyle="solid"/>
            </v:line>
            <v:line style="position:absolute" from="3409,3" to="3409,3" stroked="true" strokeweight=".329811pt" strokecolor="#000000">
              <v:stroke dashstyle="solid"/>
            </v:line>
            <v:line style="position:absolute" from="3409,3" to="3409,30" stroked="true" strokeweight=".329755pt" strokecolor="#000000">
              <v:stroke dashstyle="solid"/>
            </v:line>
            <v:line style="position:absolute" from="3719,3" to="3719,3" stroked="true" strokeweight=".329811pt" strokecolor="#000000">
              <v:stroke dashstyle="solid"/>
            </v:line>
            <v:line style="position:absolute" from="3719,3" to="3719,30" stroked="true" strokeweight=".329755pt" strokecolor="#000000">
              <v:stroke dashstyle="solid"/>
            </v:line>
            <v:line style="position:absolute" from="3,3" to="3719,3" stroked="true" strokeweight=".329811pt" strokecolor="#000000">
              <v:stroke dashstyle="solid"/>
            </v:line>
          </v:group>
        </w:pict>
      </w:r>
      <w:r>
        <w:rPr>
          <w:rFonts w:ascii="Arial"/>
          <w:position w:val="0"/>
          <w:sz w:val="3"/>
        </w:rPr>
      </w:r>
    </w:p>
    <w:p>
      <w:pPr>
        <w:tabs>
          <w:tab w:pos="1291" w:val="left" w:leader="none"/>
        </w:tabs>
        <w:spacing w:before="47"/>
        <w:ind w:left="902" w:right="0" w:firstLine="0"/>
        <w:jc w:val="left"/>
        <w:rPr>
          <w:rFonts w:ascii="Arial"/>
          <w:sz w:val="8"/>
        </w:rPr>
      </w:pPr>
      <w:r>
        <w:rPr>
          <w:rFonts w:ascii="Arial"/>
          <w:w w:val="105"/>
          <w:sz w:val="8"/>
        </w:rPr>
        <w:t>0.8</w:t>
        <w:tab/>
        <w:t>0.75 0.7 0.65 0.6 0.55 0.5 0.45 0.4 0.35 0.3 0.25 0.2 0.15</w:t>
      </w:r>
      <w:r>
        <w:rPr>
          <w:rFonts w:ascii="Arial"/>
          <w:spacing w:val="19"/>
          <w:w w:val="105"/>
          <w:sz w:val="8"/>
        </w:rPr>
        <w:t> </w:t>
      </w:r>
      <w:r>
        <w:rPr>
          <w:rFonts w:ascii="Arial"/>
          <w:w w:val="105"/>
          <w:sz w:val="8"/>
        </w:rPr>
        <w:t>0.1</w:t>
      </w:r>
    </w:p>
    <w:p>
      <w:pPr>
        <w:pStyle w:val="BodyText"/>
        <w:spacing w:before="1"/>
        <w:ind w:left="0"/>
        <w:rPr>
          <w:rFonts w:ascii="Arial"/>
          <w:sz w:val="5"/>
        </w:rPr>
      </w:pPr>
    </w:p>
    <w:p>
      <w:pPr>
        <w:pStyle w:val="BodyText"/>
        <w:spacing w:line="34" w:lineRule="exact"/>
        <w:ind w:left="720"/>
        <w:rPr>
          <w:rFonts w:ascii="Arial"/>
          <w:sz w:val="3"/>
        </w:rPr>
      </w:pPr>
      <w:r>
        <w:rPr>
          <w:rFonts w:ascii="Arial"/>
          <w:position w:val="0"/>
          <w:sz w:val="3"/>
        </w:rPr>
        <w:pict>
          <v:group style="width:133.7pt;height:1.5pt;mso-position-horizontal-relative:char;mso-position-vertical-relative:line" coordorigin="0,0" coordsize="2674,30">
            <v:line style="position:absolute" from="3,3" to="3,3" stroked="true" strokeweight=".329811pt" strokecolor="#000000">
              <v:stroke dashstyle="solid"/>
            </v:line>
            <v:line style="position:absolute" from="3,3" to="3,30" stroked="true" strokeweight=".329755pt" strokecolor="#000000">
              <v:stroke dashstyle="solid"/>
            </v:line>
            <v:line style="position:absolute" from="274,3" to="274,3" stroked="true" strokeweight=".329811pt" strokecolor="#000000">
              <v:stroke dashstyle="solid"/>
            </v:line>
            <v:line style="position:absolute" from="274,3" to="274,30" stroked="true" strokeweight=".329755pt" strokecolor="#000000">
              <v:stroke dashstyle="solid"/>
            </v:line>
            <v:line style="position:absolute" from="525,3" to="525,3" stroked="true" strokeweight=".329811pt" strokecolor="#000000">
              <v:stroke dashstyle="solid"/>
            </v:line>
            <v:line style="position:absolute" from="525,3" to="525,30" stroked="true" strokeweight=".329755pt" strokecolor="#000000">
              <v:stroke dashstyle="solid"/>
            </v:line>
            <v:line style="position:absolute" from="762,3" to="762,3" stroked="true" strokeweight=".329811pt" strokecolor="#000000">
              <v:stroke dashstyle="solid"/>
            </v:line>
            <v:line style="position:absolute" from="762,3" to="762,30" stroked="true" strokeweight=".329755pt" strokecolor="#000000">
              <v:stroke dashstyle="solid"/>
            </v:line>
            <v:line style="position:absolute" from="987,3" to="987,3" stroked="true" strokeweight=".329811pt" strokecolor="#000000">
              <v:stroke dashstyle="solid"/>
            </v:line>
            <v:line style="position:absolute" from="987,3" to="987,30" stroked="true" strokeweight=".329755pt" strokecolor="#000000">
              <v:stroke dashstyle="solid"/>
            </v:line>
            <v:line style="position:absolute" from="1205,3" to="1205,3" stroked="true" strokeweight=".329811pt" strokecolor="#000000">
              <v:stroke dashstyle="solid"/>
            </v:line>
            <v:line style="position:absolute" from="1205,3" to="1205,30" stroked="true" strokeweight=".329755pt" strokecolor="#000000">
              <v:stroke dashstyle="solid"/>
            </v:line>
            <v:line style="position:absolute" from="1422,3" to="1422,3" stroked="true" strokeweight=".329811pt" strokecolor="#000000">
              <v:stroke dashstyle="solid"/>
            </v:line>
            <v:line style="position:absolute" from="1422,3" to="1422,30" stroked="true" strokeweight=".329755pt" strokecolor="#000000">
              <v:stroke dashstyle="solid"/>
            </v:line>
            <v:line style="position:absolute" from="1640,3" to="1640,3" stroked="true" strokeweight=".329811pt" strokecolor="#000000">
              <v:stroke dashstyle="solid"/>
            </v:line>
            <v:line style="position:absolute" from="1640,3" to="1640,30" stroked="true" strokeweight=".329755pt" strokecolor="#000000">
              <v:stroke dashstyle="solid"/>
            </v:line>
            <v:line style="position:absolute" from="1865,3" to="1865,3" stroked="true" strokeweight=".329811pt" strokecolor="#000000">
              <v:stroke dashstyle="solid"/>
            </v:line>
            <v:line style="position:absolute" from="1865,3" to="1865,30" stroked="true" strokeweight=".329755pt" strokecolor="#000000">
              <v:stroke dashstyle="solid"/>
            </v:line>
            <v:line style="position:absolute" from="2102,3" to="2102,3" stroked="true" strokeweight=".329811pt" strokecolor="#000000">
              <v:stroke dashstyle="solid"/>
            </v:line>
            <v:line style="position:absolute" from="2102,3" to="2102,30" stroked="true" strokeweight=".329755pt" strokecolor="#000000">
              <v:stroke dashstyle="solid"/>
            </v:line>
            <v:line style="position:absolute" from="2366,3" to="2366,3" stroked="true" strokeweight=".329811pt" strokecolor="#000000">
              <v:stroke dashstyle="solid"/>
            </v:line>
            <v:line style="position:absolute" from="2366,3" to="2366,30" stroked="true" strokeweight=".329755pt" strokecolor="#000000">
              <v:stroke dashstyle="solid"/>
            </v:line>
            <v:line style="position:absolute" from="2670,3" to="2670,3" stroked="true" strokeweight=".329811pt" strokecolor="#000000">
              <v:stroke dashstyle="solid"/>
            </v:line>
            <v:line style="position:absolute" from="2670,3" to="2670,30" stroked="true" strokeweight=".329755pt" strokecolor="#000000">
              <v:stroke dashstyle="solid"/>
            </v:line>
            <v:line style="position:absolute" from="3,3" to="2670,3" stroked="true" strokeweight=".329811pt" strokecolor="#000000">
              <v:stroke dashstyle="solid"/>
            </v:line>
          </v:group>
        </w:pict>
      </w:r>
      <w:r>
        <w:rPr>
          <w:rFonts w:ascii="Arial"/>
          <w:position w:val="0"/>
          <w:sz w:val="3"/>
        </w:rPr>
      </w:r>
    </w:p>
    <w:p>
      <w:pPr>
        <w:spacing w:before="47"/>
        <w:ind w:left="645" w:right="0" w:firstLine="0"/>
        <w:jc w:val="left"/>
        <w:rPr>
          <w:rFonts w:ascii="Arial"/>
          <w:sz w:val="8"/>
        </w:rPr>
      </w:pPr>
      <w:r>
        <w:rPr>
          <w:rFonts w:ascii="Arial"/>
          <w:w w:val="105"/>
          <w:sz w:val="8"/>
        </w:rPr>
        <w:t>0.65 0.6 0.55 0.5 0.45 0.4 0.35 0.3 0.25 0.2 0.15 0.1</w:t>
      </w:r>
    </w:p>
    <w:p>
      <w:pPr>
        <w:spacing w:after="0"/>
        <w:jc w:val="left"/>
        <w:rPr>
          <w:rFonts w:ascii="Arial"/>
          <w:sz w:val="8"/>
        </w:rPr>
        <w:sectPr>
          <w:type w:val="continuous"/>
          <w:pgSz w:w="11910" w:h="16850"/>
          <w:pgMar w:top="1080" w:bottom="1020" w:left="1060" w:right="0"/>
          <w:cols w:num="2" w:equalWidth="0">
            <w:col w:w="1401" w:space="361"/>
            <w:col w:w="9088"/>
          </w:cols>
        </w:sectPr>
      </w:pPr>
    </w:p>
    <w:p>
      <w:pPr>
        <w:pStyle w:val="BodyText"/>
        <w:ind w:left="0"/>
        <w:rPr>
          <w:rFonts w:ascii="Arial"/>
          <w:sz w:val="20"/>
        </w:rPr>
      </w:pPr>
    </w:p>
    <w:p>
      <w:pPr>
        <w:pStyle w:val="BodyText"/>
        <w:spacing w:before="1"/>
        <w:ind w:left="0"/>
        <w:rPr>
          <w:rFonts w:ascii="Arial"/>
          <w:sz w:val="25"/>
        </w:rPr>
      </w:pPr>
    </w:p>
    <w:p>
      <w:pPr>
        <w:spacing w:before="76"/>
        <w:ind w:left="217" w:right="0" w:firstLine="0"/>
        <w:jc w:val="left"/>
        <w:rPr>
          <w:rFonts w:ascii="华文楷体" w:eastAsia="华文楷体" w:hint="eastAsia"/>
          <w:sz w:val="18"/>
        </w:rPr>
      </w:pPr>
      <w:r>
        <w:rPr>
          <w:rFonts w:ascii="华文楷体" w:eastAsia="华文楷体" w:hint="eastAsia"/>
          <w:sz w:val="18"/>
        </w:rPr>
        <w:t>图2 非小细胞肺癌患者预后生存预测列线图</w:t>
      </w:r>
    </w:p>
    <w:p>
      <w:pPr>
        <w:pStyle w:val="ListParagraph"/>
        <w:numPr>
          <w:ilvl w:val="0"/>
          <w:numId w:val="5"/>
        </w:numPr>
        <w:tabs>
          <w:tab w:pos="938" w:val="left" w:leader="none"/>
        </w:tabs>
        <w:spacing w:line="240" w:lineRule="auto" w:before="19" w:after="0"/>
        <w:ind w:left="937" w:right="0" w:hanging="240"/>
        <w:jc w:val="left"/>
        <w:rPr>
          <w:rFonts w:ascii="黑体" w:eastAsia="黑体" w:hint="eastAsia"/>
          <w:sz w:val="24"/>
        </w:rPr>
      </w:pPr>
      <w:r>
        <w:rPr>
          <w:rFonts w:ascii="黑体" w:eastAsia="黑体" w:hint="eastAsia"/>
          <w:sz w:val="24"/>
        </w:rPr>
        <w:t>讨论</w:t>
      </w:r>
    </w:p>
    <w:p>
      <w:pPr>
        <w:pStyle w:val="BodyText"/>
        <w:spacing w:line="295" w:lineRule="auto" w:before="72"/>
        <w:ind w:right="1127" w:firstLine="480"/>
      </w:pPr>
      <w:r>
        <w:rPr>
          <w:spacing w:val="-7"/>
        </w:rPr>
        <w:t>非小细胞肺癌预后受多种因素影响，包括肿瘤分期，癌症类型等肿瘤相关因素、患者年</w:t>
      </w:r>
      <w:r>
        <w:rPr>
          <w:spacing w:val="-11"/>
        </w:rPr>
        <w:t>龄，性别等个人情况以及肺切除手术，化疗，放疗等治疗情况有关，本研究采用回顾性调查</w:t>
      </w:r>
    </w:p>
    <w:p>
      <w:pPr>
        <w:spacing w:after="0" w:line="295" w:lineRule="auto"/>
        <w:sectPr>
          <w:type w:val="continuous"/>
          <w:pgSz w:w="11910" w:h="16850"/>
          <w:pgMar w:top="1080" w:bottom="1020" w:left="1060" w:right="0"/>
        </w:sectPr>
      </w:pPr>
    </w:p>
    <w:p>
      <w:pPr>
        <w:pStyle w:val="BodyText"/>
        <w:spacing w:line="297" w:lineRule="auto" w:before="65"/>
        <w:ind w:right="1011"/>
      </w:pPr>
      <w:r>
        <w:rPr/>
        <w:t>方法分析了</w:t>
      </w:r>
      <w:r>
        <w:rPr>
          <w:rFonts w:ascii="Times New Roman" w:eastAsia="Times New Roman"/>
        </w:rPr>
        <w:t>1 465</w:t>
      </w:r>
      <w:r>
        <w:rPr/>
        <w:t>例住院非小细胞肺癌患者的生存情况，采用单因素分析方法比较了各研究</w:t>
      </w:r>
      <w:r>
        <w:rPr>
          <w:spacing w:val="-4"/>
        </w:rPr>
        <w:t>因素在不同水平的生存情况，分析结果显示患者年龄、性别、</w:t>
      </w:r>
      <w:r>
        <w:rPr>
          <w:rFonts w:ascii="Times New Roman" w:eastAsia="Times New Roman"/>
        </w:rPr>
        <w:t>TNM</w:t>
      </w:r>
      <w:r>
        <w:rPr>
          <w:spacing w:val="-8"/>
        </w:rPr>
        <w:t>分期、</w:t>
      </w:r>
      <w:r>
        <w:rPr>
          <w:rFonts w:ascii="Times New Roman" w:eastAsia="Times New Roman"/>
        </w:rPr>
        <w:t>KPS</w:t>
      </w:r>
      <w:r>
        <w:rPr>
          <w:spacing w:val="-5"/>
        </w:rPr>
        <w:t>评分、化疗方案、骨转移情况、手术治疗、吸烟史、饮酒史、</w:t>
      </w:r>
      <w:r>
        <w:rPr>
          <w:rFonts w:ascii="Times New Roman" w:eastAsia="Times New Roman"/>
          <w:spacing w:val="-5"/>
        </w:rPr>
        <w:t>NSE</w:t>
      </w:r>
      <w:r>
        <w:rPr>
          <w:spacing w:val="-5"/>
        </w:rPr>
        <w:t>、</w:t>
      </w:r>
      <w:r>
        <w:rPr>
          <w:rFonts w:ascii="Times New Roman" w:eastAsia="Times New Roman"/>
          <w:spacing w:val="-5"/>
        </w:rPr>
        <w:t>CEA</w:t>
      </w:r>
      <w:r>
        <w:rPr>
          <w:spacing w:val="-5"/>
        </w:rPr>
        <w:t>、</w:t>
      </w:r>
      <w:r>
        <w:rPr>
          <w:rFonts w:ascii="Times New Roman" w:eastAsia="Times New Roman"/>
          <w:spacing w:val="-5"/>
        </w:rPr>
        <w:t>CA125</w:t>
      </w:r>
      <w:r>
        <w:rPr>
          <w:spacing w:val="-5"/>
        </w:rPr>
        <w:t>、</w:t>
      </w:r>
      <w:r>
        <w:rPr>
          <w:rFonts w:ascii="Times New Roman" w:eastAsia="Times New Roman"/>
          <w:spacing w:val="-5"/>
        </w:rPr>
        <w:t>Cyfra211</w:t>
      </w:r>
      <w:r>
        <w:rPr>
          <w:spacing w:val="-5"/>
        </w:rPr>
        <w:t>均影响非小细胞肺癌患者预后，多因素分析显示、患者年龄、性别、</w:t>
      </w:r>
      <w:r>
        <w:rPr>
          <w:rFonts w:ascii="Times New Roman" w:eastAsia="Times New Roman"/>
          <w:spacing w:val="-5"/>
        </w:rPr>
        <w:t>TNM</w:t>
      </w:r>
      <w:r>
        <w:rPr>
          <w:spacing w:val="-5"/>
        </w:rPr>
        <w:t>分期、</w:t>
      </w:r>
      <w:r>
        <w:rPr>
          <w:rFonts w:ascii="Times New Roman" w:eastAsia="Times New Roman"/>
          <w:spacing w:val="-5"/>
        </w:rPr>
        <w:t>KPS</w:t>
      </w:r>
      <w:r>
        <w:rPr>
          <w:spacing w:val="-7"/>
        </w:rPr>
        <w:t>评分、手术治疗、</w:t>
      </w:r>
      <w:r>
        <w:rPr/>
        <w:t>饮酒史为影响非小细胞肺癌患者预后的独立预测因子。</w:t>
      </w:r>
    </w:p>
    <w:p>
      <w:pPr>
        <w:pStyle w:val="BodyText"/>
        <w:spacing w:line="297" w:lineRule="auto"/>
        <w:ind w:right="1127" w:firstLine="480"/>
        <w:jc w:val="both"/>
      </w:pPr>
      <w:r>
        <w:rPr/>
        <w:t>本研究患者中约</w:t>
      </w:r>
      <w:r>
        <w:rPr>
          <w:rFonts w:ascii="Times New Roman" w:eastAsia="Times New Roman"/>
        </w:rPr>
        <w:t>40</w:t>
      </w:r>
      <w:r>
        <w:rPr/>
        <w:t>的患者年龄在</w:t>
      </w:r>
      <w:r>
        <w:rPr>
          <w:rFonts w:ascii="Times New Roman" w:eastAsia="Times New Roman"/>
        </w:rPr>
        <w:t>65</w:t>
      </w:r>
      <w:r>
        <w:rPr>
          <w:spacing w:val="-12"/>
        </w:rPr>
        <w:t>岁以上，单因素分析显示其中位生存时间明显低于年</w:t>
      </w:r>
      <w:r>
        <w:rPr/>
        <w:t>龄低于</w:t>
      </w:r>
      <w:r>
        <w:rPr>
          <w:rFonts w:ascii="Times New Roman" w:eastAsia="Times New Roman"/>
        </w:rPr>
        <w:t>65</w:t>
      </w:r>
      <w:r>
        <w:rPr>
          <w:spacing w:val="-5"/>
        </w:rPr>
        <w:t>岁患者</w:t>
      </w:r>
      <w:r>
        <w:rPr/>
        <w:t>（中位生存时间</w:t>
      </w:r>
      <w:r>
        <w:rPr>
          <w:rFonts w:ascii="Times New Roman" w:eastAsia="Times New Roman"/>
        </w:rPr>
        <w:t>793</w:t>
      </w:r>
      <w:r>
        <w:rPr/>
        <w:t>天</w:t>
      </w:r>
      <w:r>
        <w:rPr>
          <w:rFonts w:ascii="Times New Roman" w:eastAsia="Times New Roman"/>
          <w:i/>
        </w:rPr>
        <w:t>vs.</w:t>
      </w:r>
      <w:r>
        <w:rPr/>
        <w:t>中位生存时间</w:t>
      </w:r>
      <w:r>
        <w:rPr>
          <w:rFonts w:ascii="Times New Roman" w:eastAsia="Times New Roman"/>
        </w:rPr>
        <w:t>1033</w:t>
      </w:r>
      <w:r>
        <w:rPr/>
        <w:t>天</w:t>
      </w:r>
      <w:r>
        <w:rPr>
          <w:rFonts w:ascii="Times New Roman" w:eastAsia="Times New Roman"/>
          <w:spacing w:val="-4"/>
        </w:rPr>
        <w:t>,</w:t>
      </w:r>
      <w:r>
        <w:rPr>
          <w:rFonts w:ascii="Times New Roman" w:eastAsia="Times New Roman"/>
          <w:i/>
          <w:spacing w:val="-4"/>
        </w:rPr>
        <w:t>P</w:t>
      </w:r>
      <w:r>
        <w:rPr>
          <w:rFonts w:ascii="Times New Roman" w:eastAsia="Times New Roman"/>
          <w:spacing w:val="-4"/>
        </w:rPr>
        <w:t>&lt;0.05</w:t>
      </w:r>
      <w:r>
        <w:rPr>
          <w:spacing w:val="-4"/>
        </w:rPr>
        <w:t>），</w:t>
      </w:r>
      <w:r>
        <w:rPr>
          <w:spacing w:val="-2"/>
        </w:rPr>
        <w:t>与其他研究结果类</w:t>
      </w:r>
      <w:r>
        <w:rPr/>
        <w:t>似，高龄是影响非小细胞肺癌的独立危险因子，本研究列线图结果显示高龄（年龄</w:t>
      </w:r>
      <w:r>
        <w:rPr>
          <w:rFonts w:ascii="Times New Roman" w:eastAsia="Times New Roman"/>
        </w:rPr>
        <w:t>&gt;65</w:t>
      </w:r>
      <w:r>
        <w:rPr/>
        <w:t>岁</w:t>
      </w:r>
      <w:r>
        <w:rPr>
          <w:spacing w:val="-13"/>
        </w:rPr>
        <w:t>） </w:t>
      </w:r>
      <w:r>
        <w:rPr>
          <w:spacing w:val="-10"/>
        </w:rPr>
        <w:t>患者列线图评分较高，患者生存概率进一步降低。既往文献研究显示高龄患者通常无法得到</w:t>
      </w:r>
      <w:r>
        <w:rPr/>
        <w:t>更加有效的治疗，这与高龄患者往往并发症较多，化疗耐受能力、免疫功能低下等有关。</w:t>
      </w:r>
    </w:p>
    <w:p>
      <w:pPr>
        <w:pStyle w:val="BodyText"/>
        <w:spacing w:line="297" w:lineRule="auto"/>
        <w:ind w:right="1130" w:firstLine="480"/>
      </w:pPr>
      <w:r>
        <w:rPr>
          <w:spacing w:val="-6"/>
        </w:rPr>
        <w:t>关于性别对非小细胞肺癌患者预后影响差异迥异。本研究男性患者比例明显高于女性患</w:t>
      </w:r>
      <w:r>
        <w:rPr/>
        <w:t>者，且男性患者预后较差，本研究经</w:t>
      </w:r>
      <w:r>
        <w:rPr>
          <w:rFonts w:ascii="Times New Roman" w:eastAsia="Times New Roman"/>
        </w:rPr>
        <w:t>COX</w:t>
      </w:r>
      <w:r>
        <w:rPr/>
        <w:t>多因素回归分析显示，在调整吸烟比例及肺癌类型等因素后男性患者与女性相比仍具有较高的风险比（</w:t>
      </w:r>
      <w:r>
        <w:rPr>
          <w:rFonts w:ascii="Times New Roman" w:eastAsia="Times New Roman"/>
        </w:rPr>
        <w:t>HR=1.244,95%CI(1.003</w:t>
      </w:r>
      <w:r>
        <w:rPr/>
        <w:t>～</w:t>
      </w:r>
      <w:r>
        <w:rPr>
          <w:rFonts w:ascii="Times New Roman" w:eastAsia="Times New Roman"/>
        </w:rPr>
        <w:t>1.544</w:t>
      </w:r>
      <w:r>
        <w:rPr/>
        <w:t>）。提示研究性别对非小细胞肺癌患者预后差异的影响，需要探索更多因素。</w:t>
      </w:r>
    </w:p>
    <w:p>
      <w:pPr>
        <w:pStyle w:val="BodyText"/>
        <w:spacing w:line="297" w:lineRule="auto"/>
        <w:ind w:right="1128" w:firstLine="360"/>
      </w:pPr>
      <w:r>
        <w:rPr>
          <w:rFonts w:ascii="Times New Roman" w:eastAsia="Times New Roman"/>
        </w:rPr>
        <w:t>TNM</w:t>
      </w:r>
      <w:r>
        <w:rPr>
          <w:spacing w:val="-4"/>
        </w:rPr>
        <w:t>分期一直是影响非小细胞肺癌预后的独立危险因素，本研究结果显示随着</w:t>
      </w:r>
      <w:r>
        <w:rPr>
          <w:rFonts w:ascii="Times New Roman" w:eastAsia="Times New Roman"/>
        </w:rPr>
        <w:t>TNM</w:t>
      </w:r>
      <w:r>
        <w:rPr>
          <w:spacing w:val="-8"/>
        </w:rPr>
        <w:t>分期</w:t>
      </w:r>
      <w:r>
        <w:rPr/>
        <w:t>的增高患者中位生存时间明显减少，列线图评分显示</w:t>
      </w:r>
      <w:r>
        <w:rPr>
          <w:rFonts w:ascii="Times New Roman" w:eastAsia="Times New Roman"/>
        </w:rPr>
        <w:t>TNM</w:t>
      </w:r>
      <w:r>
        <w:rPr/>
        <w:t>分期</w:t>
      </w:r>
      <w:r>
        <w:rPr>
          <w:rFonts w:ascii="Times New Roman" w:eastAsia="Times New Roman"/>
          <w:spacing w:val="-4"/>
        </w:rPr>
        <w:t>I</w:t>
      </w:r>
      <w:r>
        <w:rPr/>
        <w:t>期与</w:t>
      </w:r>
      <w:r>
        <w:rPr>
          <w:rFonts w:ascii="Times New Roman" w:eastAsia="Times New Roman"/>
        </w:rPr>
        <w:t>IV</w:t>
      </w:r>
      <w:r>
        <w:rPr/>
        <w:t>期相差分值高达</w:t>
      </w:r>
      <w:r>
        <w:rPr>
          <w:rFonts w:ascii="Times New Roman" w:eastAsia="Times New Roman"/>
        </w:rPr>
        <w:t>100 </w:t>
      </w:r>
      <w:r>
        <w:rPr/>
        <w:t>分，因此</w:t>
      </w:r>
      <w:r>
        <w:rPr>
          <w:rFonts w:ascii="Times New Roman" w:eastAsia="Times New Roman"/>
        </w:rPr>
        <w:t>TNM</w:t>
      </w:r>
      <w:r>
        <w:rPr/>
        <w:t>分期对肿瘤患者预后影响尤为显著。</w:t>
      </w:r>
    </w:p>
    <w:p>
      <w:pPr>
        <w:pStyle w:val="BodyText"/>
        <w:spacing w:line="297" w:lineRule="auto"/>
        <w:ind w:right="1126" w:firstLine="480"/>
        <w:jc w:val="both"/>
      </w:pPr>
      <w:r>
        <w:rPr/>
        <w:t>本研究单因素及多因素分析发现</w:t>
      </w:r>
      <w:r>
        <w:rPr>
          <w:rFonts w:ascii="Times New Roman" w:eastAsia="Times New Roman"/>
        </w:rPr>
        <w:t>KPS</w:t>
      </w:r>
      <w:r>
        <w:rPr>
          <w:spacing w:val="-1"/>
        </w:rPr>
        <w:t>评分与患者生存时间的延长明显相关，</w:t>
      </w:r>
      <w:r>
        <w:rPr>
          <w:rFonts w:ascii="Times New Roman" w:eastAsia="Times New Roman"/>
          <w:spacing w:val="-6"/>
        </w:rPr>
        <w:t>KPS</w:t>
      </w:r>
      <w:r>
        <w:rPr>
          <w:spacing w:val="-6"/>
        </w:rPr>
        <w:t>评分高</w:t>
      </w:r>
      <w:r>
        <w:rPr>
          <w:spacing w:val="-3"/>
        </w:rPr>
        <w:t>的患者拥有更长的中位生存时间。主要原因在于</w:t>
      </w:r>
      <w:r>
        <w:rPr>
          <w:rFonts w:ascii="Times New Roman" w:eastAsia="Times New Roman"/>
        </w:rPr>
        <w:t>KPS</w:t>
      </w:r>
      <w:r>
        <w:rPr>
          <w:spacing w:val="-4"/>
        </w:rPr>
        <w:t>评分越高患者健康状态越好，对化疗不</w:t>
      </w:r>
      <w:r>
        <w:rPr>
          <w:spacing w:val="-8"/>
        </w:rPr>
        <w:t>良反应耐受情况越好，越能接受更加彻底的治疗。因此重视癌症患者健康状况，对癌症患者</w:t>
      </w:r>
      <w:r>
        <w:rPr/>
        <w:t>积极治疗，提高患者生存时间意义重大。</w:t>
      </w:r>
    </w:p>
    <w:p>
      <w:pPr>
        <w:pStyle w:val="BodyText"/>
        <w:spacing w:line="295" w:lineRule="auto"/>
        <w:ind w:right="1130" w:firstLine="480"/>
        <w:jc w:val="both"/>
      </w:pPr>
      <w:r>
        <w:rPr>
          <w:spacing w:val="-8"/>
        </w:rPr>
        <w:t>非小细胞肺癌综合治疗包括手术、化疗、放疗。目前根治性切除手术仍然是非小细胞肺</w:t>
      </w:r>
      <w:r>
        <w:rPr>
          <w:spacing w:val="-11"/>
        </w:rPr>
        <w:t>癌的主要治疗方式之一，本研单因素分析结果显示接受手术切除患者的中位生存时间明显高</w:t>
      </w:r>
      <w:r>
        <w:rPr/>
        <w:t>于非手术患者，因此早期发现并行根治性切除，是非小细胞肺癌患者的最佳选择。</w:t>
      </w:r>
    </w:p>
    <w:p>
      <w:pPr>
        <w:pStyle w:val="BodyText"/>
        <w:spacing w:line="297" w:lineRule="auto"/>
        <w:ind w:right="1127" w:firstLine="480"/>
        <w:jc w:val="both"/>
      </w:pPr>
      <w:r>
        <w:rPr>
          <w:spacing w:val="-9"/>
        </w:rPr>
        <w:t>本研究观察了吸烟、饮酒等个人生活习惯对非小细胞肺癌的影响，发现有饮酒史患者预</w:t>
      </w:r>
      <w:r>
        <w:rPr>
          <w:spacing w:val="-11"/>
        </w:rPr>
        <w:t>后更差，多因素分析结果显示吸烟史对患者生存影响不具有统计学意义，可能与我国居民较</w:t>
      </w:r>
      <w:r>
        <w:rPr>
          <w:spacing w:val="-6"/>
        </w:rPr>
        <w:t>高的二手烟暴露及我院积极倡导患者戒烟有关，研究显示我国成年女性二手烟暴露比例高达</w:t>
      </w:r>
      <w:r>
        <w:rPr>
          <w:rFonts w:ascii="Times New Roman" w:eastAsia="Times New Roman"/>
        </w:rPr>
        <w:t>49.2%</w:t>
      </w:r>
      <w:r>
        <w:rPr/>
        <w:t>，目前已有研究证实二手烟暴露与较差的预后相关。</w:t>
      </w:r>
    </w:p>
    <w:p>
      <w:pPr>
        <w:pStyle w:val="BodyText"/>
        <w:spacing w:line="297" w:lineRule="auto"/>
        <w:ind w:right="1014" w:firstLine="480"/>
      </w:pPr>
      <w:r>
        <w:rPr/>
        <w:t>列线图是一种可以整合多个预测因子并能将统计预测模型简化为只预测结局事件发生 </w:t>
      </w:r>
      <w:r>
        <w:rPr>
          <w:spacing w:val="-9"/>
        </w:rPr>
        <w:t>概率的统计方法，在癌症预后预测领域应用功能广泛。在列线图中各预测因子以分数形式量</w:t>
      </w:r>
      <w:r>
        <w:rPr>
          <w:spacing w:val="-12"/>
        </w:rPr>
        <w:t>化，通过各预测因子的量化分值加和所得总分与结局事件发生概率之间的转换函数来计算患</w:t>
      </w:r>
      <w:r>
        <w:rPr>
          <w:spacing w:val="-13"/>
        </w:rPr>
        <w:t>者结局事件的发生概率。由于其可计算给个患者的生存概率，因此在临床的应用价值巨大。</w:t>
      </w:r>
      <w:r>
        <w:rPr/>
        <w:t>临床医生借助列线图可清晰的将</w:t>
      </w:r>
      <w:r>
        <w:rPr>
          <w:rFonts w:ascii="Times New Roman" w:eastAsia="Times New Roman"/>
        </w:rPr>
        <w:t>COX</w:t>
      </w:r>
      <w:r>
        <w:rPr>
          <w:spacing w:val="-8"/>
        </w:rPr>
        <w:t>回归、</w:t>
      </w:r>
      <w:r>
        <w:rPr>
          <w:rFonts w:ascii="Times New Roman" w:eastAsia="Times New Roman"/>
        </w:rPr>
        <w:t>LOGISTIC</w:t>
      </w:r>
      <w:r>
        <w:rPr/>
        <w:t>回归等复杂的统计预测结果解释给患</w:t>
      </w:r>
      <w:r>
        <w:rPr>
          <w:spacing w:val="-19"/>
        </w:rPr>
        <w:t>者，从而提高患者治疗依从性，改善患者生存。本研究通过</w:t>
      </w:r>
      <w:r>
        <w:rPr>
          <w:rFonts w:ascii="Times New Roman" w:eastAsia="Times New Roman"/>
        </w:rPr>
        <w:t>Kaplan-meier</w:t>
      </w:r>
      <w:r>
        <w:rPr/>
        <w:t>生存曲线分析及</w:t>
      </w:r>
      <w:r>
        <w:rPr>
          <w:rFonts w:ascii="Times New Roman" w:eastAsia="Times New Roman"/>
        </w:rPr>
        <w:t>COX </w:t>
      </w:r>
      <w:r>
        <w:rPr>
          <w:spacing w:val="-4"/>
        </w:rPr>
        <w:t>比例风险模型筛选出影响非小细胞肺癌化疗患者预后的独立预测因子，并依此建立列线图模型具有较高的内部一致性，模型一致性系数为</w:t>
      </w:r>
      <w:r>
        <w:rPr>
          <w:rFonts w:ascii="Times New Roman" w:eastAsia="Times New Roman"/>
          <w:spacing w:val="-4"/>
        </w:rPr>
        <w:t>0.701</w:t>
      </w:r>
      <w:r>
        <w:rPr>
          <w:spacing w:val="-4"/>
        </w:rPr>
        <w:t>，具有较好的拟合度。</w:t>
      </w:r>
    </w:p>
    <w:p>
      <w:pPr>
        <w:spacing w:after="0" w:line="297" w:lineRule="auto"/>
        <w:sectPr>
          <w:pgSz w:w="11910" w:h="16850"/>
          <w:pgMar w:header="906" w:footer="607" w:top="1100" w:bottom="800" w:left="1060" w:right="0"/>
        </w:sectPr>
      </w:pPr>
    </w:p>
    <w:p>
      <w:pPr>
        <w:pStyle w:val="BodyText"/>
        <w:spacing w:line="295" w:lineRule="auto" w:before="65"/>
        <w:ind w:right="1127" w:firstLine="480"/>
        <w:jc w:val="both"/>
      </w:pPr>
      <w:r>
        <w:rPr>
          <w:spacing w:val="-5"/>
        </w:rPr>
        <w:t>本研究构建列线图能够更好的帮助医生及患者制定治疗策略，帮助预后较差患者及时调</w:t>
      </w:r>
      <w:r>
        <w:rPr>
          <w:spacing w:val="-10"/>
        </w:rPr>
        <w:t>整治疗方案。本研究模型基于回顾性收集我院数据，模型尚需通过更多多中心、大样本及前</w:t>
      </w:r>
      <w:r>
        <w:rPr/>
        <w:t>瞻性研究加以验证。</w:t>
      </w:r>
    </w:p>
    <w:p>
      <w:pPr>
        <w:spacing w:before="10"/>
        <w:ind w:left="637" w:right="0" w:firstLine="0"/>
        <w:jc w:val="left"/>
        <w:rPr>
          <w:rFonts w:ascii="华文楷体" w:eastAsia="华文楷体" w:hint="eastAsia"/>
          <w:sz w:val="21"/>
        </w:rPr>
      </w:pPr>
      <w:r>
        <w:rPr>
          <w:rFonts w:ascii="华文楷体" w:eastAsia="华文楷体" w:hint="eastAsia"/>
          <w:sz w:val="21"/>
        </w:rPr>
        <w:t>注：内容以实际出版物为准</w:t>
      </w:r>
    </w:p>
    <w:p>
      <w:pPr>
        <w:pStyle w:val="BodyText"/>
        <w:spacing w:before="13"/>
        <w:ind w:left="0"/>
        <w:rPr>
          <w:rFonts w:ascii="华文楷体"/>
          <w:sz w:val="15"/>
        </w:rPr>
      </w:pPr>
    </w:p>
    <w:p>
      <w:pPr>
        <w:pStyle w:val="Heading2"/>
        <w:spacing w:before="1"/>
      </w:pPr>
      <w:bookmarkStart w:name="_TOC_250022" w:id="23"/>
      <w:bookmarkEnd w:id="23"/>
      <w:r>
        <w:rPr/>
        <w:t>【医生谈药】</w:t>
      </w:r>
    </w:p>
    <w:p>
      <w:pPr>
        <w:pStyle w:val="BodyText"/>
        <w:spacing w:before="5"/>
        <w:ind w:left="0"/>
        <w:rPr>
          <w:b/>
          <w:sz w:val="18"/>
        </w:rPr>
      </w:pPr>
    </w:p>
    <w:p>
      <w:pPr>
        <w:spacing w:after="0"/>
        <w:rPr>
          <w:sz w:val="18"/>
        </w:rPr>
        <w:sectPr>
          <w:pgSz w:w="11910" w:h="16850"/>
          <w:pgMar w:header="906" w:footer="607" w:top="1100" w:bottom="800" w:left="1060" w:right="0"/>
        </w:sectPr>
      </w:pPr>
    </w:p>
    <w:p>
      <w:pPr>
        <w:pStyle w:val="Heading2"/>
        <w:spacing w:before="55"/>
        <w:ind w:left="3037"/>
      </w:pPr>
      <w:bookmarkStart w:name="_TOC_250021" w:id="24"/>
      <w:bookmarkEnd w:id="24"/>
      <w:r>
        <w:rPr>
          <w:spacing w:val="-2"/>
        </w:rPr>
        <w:t>抗流感药物使用须三思而行</w:t>
      </w:r>
    </w:p>
    <w:p>
      <w:pPr>
        <w:pStyle w:val="BodyText"/>
        <w:ind w:left="0"/>
        <w:rPr>
          <w:b/>
        </w:rPr>
      </w:pPr>
      <w:r>
        <w:rPr/>
        <w:br w:type="column"/>
      </w:r>
      <w:r>
        <w:rPr>
          <w:b/>
        </w:rPr>
      </w:r>
    </w:p>
    <w:p>
      <w:pPr>
        <w:pStyle w:val="BodyText"/>
        <w:spacing w:before="10"/>
        <w:ind w:left="0"/>
        <w:rPr>
          <w:b/>
          <w:sz w:val="23"/>
        </w:rPr>
      </w:pPr>
    </w:p>
    <w:p>
      <w:pPr>
        <w:pStyle w:val="Heading3"/>
        <w:ind w:left="857"/>
      </w:pPr>
      <w:r>
        <w:rPr>
          <w:color w:val="FF0000"/>
        </w:rPr>
        <w:t>（来源：健康报）</w:t>
      </w:r>
    </w:p>
    <w:p>
      <w:pPr>
        <w:spacing w:after="0"/>
        <w:sectPr>
          <w:type w:val="continuous"/>
          <w:pgSz w:w="11910" w:h="16850"/>
          <w:pgMar w:top="1080" w:bottom="1020" w:left="1060" w:right="0"/>
          <w:cols w:num="2" w:equalWidth="0">
            <w:col w:w="6891" w:space="40"/>
            <w:col w:w="3919"/>
          </w:cols>
        </w:sectPr>
      </w:pPr>
    </w:p>
    <w:p>
      <w:pPr>
        <w:pStyle w:val="BodyText"/>
        <w:spacing w:line="297" w:lineRule="auto" w:before="97"/>
        <w:ind w:right="1127" w:firstLine="480"/>
        <w:jc w:val="both"/>
      </w:pPr>
      <w:r>
        <w:rPr>
          <w:spacing w:val="-9"/>
        </w:rPr>
        <w:t>近年来，流感大流行已成为全球广泛关注的公共卫生问题之一。近日，中国流感监测网</w:t>
      </w:r>
      <w:r>
        <w:rPr>
          <w:spacing w:val="-4"/>
        </w:rPr>
        <w:t>络发布的数据显示，我国大多数省份进入 </w:t>
      </w:r>
      <w:r>
        <w:rPr>
          <w:rFonts w:ascii="Times New Roman" w:eastAsia="Times New Roman"/>
        </w:rPr>
        <w:t>2018 </w:t>
      </w:r>
      <w:r>
        <w:rPr/>
        <w:t>年</w:t>
      </w:r>
      <w:r>
        <w:rPr>
          <w:rFonts w:ascii="Times New Roman" w:eastAsia="Times New Roman"/>
        </w:rPr>
        <w:t>~2019 </w:t>
      </w:r>
      <w:r>
        <w:rPr/>
        <w:t>年冬春季流感流行季，流感活动水平继续上升。</w:t>
      </w:r>
    </w:p>
    <w:p>
      <w:pPr>
        <w:pStyle w:val="BodyText"/>
        <w:spacing w:line="297" w:lineRule="auto"/>
        <w:ind w:right="1014" w:firstLine="480"/>
      </w:pPr>
      <w:r>
        <w:rPr/>
        <w:t>虽然疫苗已经作为预防和控制流感的主要工具，但是由于疫苗的研制具有一定滞后性， 并且现阶段的接种率仍较低，在应对流感病毒抗原漂移</w:t>
      </w:r>
      <w:r>
        <w:rPr>
          <w:rFonts w:ascii="Times New Roman" w:eastAsia="Times New Roman"/>
        </w:rPr>
        <w:t>/</w:t>
      </w:r>
      <w:r>
        <w:rPr/>
        <w:t>转换以及基因突变和重组等方面， 仍然存在很大的挑战。所以，抗流感病毒药物仍被广泛应用于高危人群的流行性感冒预防， 控制流感大流行，以及针对重症和危重症病例的临床救治。</w:t>
      </w:r>
    </w:p>
    <w:p>
      <w:pPr>
        <w:pStyle w:val="Heading3"/>
        <w:spacing w:line="304" w:lineRule="exact"/>
        <w:rPr>
          <w:rFonts w:ascii="宋体" w:eastAsia="宋体" w:hint="eastAsia"/>
        </w:rPr>
      </w:pPr>
      <w:r>
        <w:rPr>
          <w:rFonts w:ascii="宋体" w:eastAsia="宋体" w:hint="eastAsia"/>
        </w:rPr>
        <w:t>日益严重的耐药性问题</w:t>
      </w:r>
    </w:p>
    <w:p>
      <w:pPr>
        <w:pStyle w:val="BodyText"/>
        <w:spacing w:line="297" w:lineRule="auto" w:before="68"/>
        <w:ind w:right="1127" w:firstLine="480"/>
        <w:jc w:val="both"/>
      </w:pPr>
      <w:r>
        <w:rPr>
          <w:spacing w:val="-4"/>
        </w:rPr>
        <w:t>目前，临床主要应用的抗流感病毒药物是病毒神经氨酸酶抑制剂</w:t>
      </w:r>
      <w:r>
        <w:rPr>
          <w:spacing w:val="-5"/>
        </w:rPr>
        <w:t>（</w:t>
      </w:r>
      <w:r>
        <w:rPr>
          <w:rFonts w:ascii="Times New Roman" w:eastAsia="Times New Roman"/>
          <w:spacing w:val="-5"/>
        </w:rPr>
        <w:t>NAI</w:t>
      </w:r>
      <w:r>
        <w:rPr>
          <w:spacing w:val="-5"/>
        </w:rPr>
        <w:t>），</w:t>
      </w:r>
      <w:r>
        <w:rPr>
          <w:spacing w:val="-3"/>
        </w:rPr>
        <w:t>它是继利巴</w:t>
      </w:r>
      <w:r>
        <w:rPr>
          <w:spacing w:val="-10"/>
        </w:rPr>
        <w:t>韦林、烷胺类药物后一类有全新作用机制的流感防治药，能选择性地抑制甲型、乙型流感病</w:t>
      </w:r>
      <w:r>
        <w:rPr>
          <w:spacing w:val="-8"/>
        </w:rPr>
        <w:t>毒表面神经氨酸酶的活性，阻止子代病毒颗粒在人体细胞内的复制和释放，可有效预防感冒</w:t>
      </w:r>
      <w:r>
        <w:rPr>
          <w:spacing w:val="-4"/>
        </w:rPr>
        <w:t>和缓解症状。该药物在感冒初期 </w:t>
      </w:r>
      <w:r>
        <w:rPr>
          <w:rFonts w:ascii="Times New Roman" w:eastAsia="Times New Roman"/>
        </w:rPr>
        <w:t>48 </w:t>
      </w:r>
      <w:r>
        <w:rPr/>
        <w:t>小时内应用，可明显缩短流感持续时间。</w:t>
      </w:r>
    </w:p>
    <w:p>
      <w:pPr>
        <w:pStyle w:val="BodyText"/>
        <w:spacing w:line="301" w:lineRule="exact"/>
        <w:ind w:left="697"/>
      </w:pPr>
      <w:r>
        <w:rPr/>
        <w:t>但是，近年来由于流感病毒耐药突变株不断出现，也需要警惕 </w:t>
      </w:r>
      <w:r>
        <w:rPr>
          <w:rFonts w:ascii="Times New Roman" w:eastAsia="Times New Roman"/>
        </w:rPr>
        <w:t>NAI </w:t>
      </w:r>
      <w:r>
        <w:rPr/>
        <w:t>导致的耐药性问题。</w:t>
      </w:r>
    </w:p>
    <w:p>
      <w:pPr>
        <w:pStyle w:val="BodyText"/>
        <w:spacing w:line="295" w:lineRule="auto" w:before="74"/>
        <w:ind w:right="1126" w:firstLine="480"/>
        <w:jc w:val="both"/>
      </w:pPr>
      <w:r>
        <w:rPr>
          <w:rFonts w:ascii="Times New Roman" w:eastAsia="Times New Roman"/>
        </w:rPr>
        <w:t>NAI </w:t>
      </w:r>
      <w:r>
        <w:rPr>
          <w:spacing w:val="-8"/>
        </w:rPr>
        <w:t>的代表性药物是奥司他韦，有胶囊和颗粒剂两种剂型，由于使用相对简便，敏感性</w:t>
      </w:r>
      <w:r>
        <w:rPr>
          <w:spacing w:val="-9"/>
        </w:rPr>
        <w:t>较好，是目前临床应用最广泛的 </w:t>
      </w:r>
      <w:r>
        <w:rPr>
          <w:rFonts w:ascii="Times New Roman" w:eastAsia="Times New Roman"/>
        </w:rPr>
        <w:t>NAI</w:t>
      </w:r>
      <w:r>
        <w:rPr>
          <w:spacing w:val="-11"/>
        </w:rPr>
        <w:t>。但是伴随该药物的广泛、长期使用，奥司他韦耐药率</w:t>
      </w:r>
      <w:r>
        <w:rPr/>
        <w:t>在全球已有逐渐增加的趋势。</w:t>
      </w:r>
    </w:p>
    <w:p>
      <w:pPr>
        <w:pStyle w:val="BodyText"/>
        <w:spacing w:line="297" w:lineRule="auto" w:before="6"/>
        <w:ind w:right="1128" w:firstLine="480"/>
      </w:pPr>
      <w:r>
        <w:rPr>
          <w:spacing w:val="-4"/>
        </w:rPr>
        <w:t>例如，全球抗流感病毒药物销量约有 </w:t>
      </w:r>
      <w:r>
        <w:rPr>
          <w:rFonts w:ascii="Times New Roman" w:eastAsia="Times New Roman"/>
        </w:rPr>
        <w:t>60%</w:t>
      </w:r>
      <w:r>
        <w:rPr/>
        <w:t>发生在日本，同时，日本耐药株检出率也相</w:t>
      </w:r>
      <w:r>
        <w:rPr>
          <w:spacing w:val="-21"/>
        </w:rPr>
        <w:t>对较高。在 </w:t>
      </w:r>
      <w:r>
        <w:rPr>
          <w:rFonts w:ascii="Times New Roman" w:eastAsia="Times New Roman"/>
        </w:rPr>
        <w:t>2007~2008 </w:t>
      </w:r>
      <w:r>
        <w:rPr>
          <w:spacing w:val="-9"/>
        </w:rPr>
        <w:t>年的季节性流感大流行期间，美国 </w:t>
      </w:r>
      <w:r>
        <w:rPr>
          <w:rFonts w:ascii="Times New Roman" w:eastAsia="Times New Roman"/>
        </w:rPr>
        <w:t>10%</w:t>
      </w:r>
      <w:r>
        <w:rPr>
          <w:spacing w:val="-15"/>
        </w:rPr>
        <w:t>左右的 </w:t>
      </w:r>
      <w:r>
        <w:rPr>
          <w:rFonts w:ascii="Times New Roman" w:eastAsia="Times New Roman"/>
        </w:rPr>
        <w:t>H1N1 </w:t>
      </w:r>
      <w:r>
        <w:rPr>
          <w:spacing w:val="-2"/>
        </w:rPr>
        <w:t>流感株出现了奥</w:t>
      </w:r>
      <w:r>
        <w:rPr>
          <w:spacing w:val="-4"/>
        </w:rPr>
        <w:t>司他韦耐药。而欧洲耐药比例更是高达 </w:t>
      </w:r>
      <w:r>
        <w:rPr>
          <w:rFonts w:ascii="Times New Roman" w:eastAsia="Times New Roman"/>
        </w:rPr>
        <w:t>40%~60%</w:t>
      </w:r>
      <w:r>
        <w:rPr/>
        <w:t>。</w:t>
      </w:r>
      <w:r>
        <w:rPr>
          <w:rFonts w:ascii="Times New Roman" w:eastAsia="Times New Roman"/>
        </w:rPr>
        <w:t>WHO </w:t>
      </w:r>
      <w:r>
        <w:rPr>
          <w:spacing w:val="-30"/>
        </w:rPr>
        <w:t>于 </w:t>
      </w:r>
      <w:r>
        <w:rPr>
          <w:rFonts w:ascii="Times New Roman" w:eastAsia="Times New Roman"/>
        </w:rPr>
        <w:t>2009 </w:t>
      </w:r>
      <w:r>
        <w:rPr>
          <w:spacing w:val="-30"/>
        </w:rPr>
        <w:t>年 </w:t>
      </w:r>
      <w:r>
        <w:rPr>
          <w:rFonts w:ascii="Times New Roman" w:eastAsia="Times New Roman"/>
        </w:rPr>
        <w:t>11 </w:t>
      </w:r>
      <w:r>
        <w:rPr/>
        <w:t>月公布的全球甲型</w:t>
      </w:r>
      <w:r>
        <w:rPr>
          <w:spacing w:val="-3"/>
        </w:rPr>
        <w:t>流感耐药性持续监测结果显示，多个国家发现奥司他韦耐药现象。</w:t>
      </w:r>
      <w:r>
        <w:rPr>
          <w:rFonts w:ascii="Times New Roman" w:eastAsia="Times New Roman"/>
        </w:rPr>
        <w:t>2010 </w:t>
      </w:r>
      <w:r>
        <w:rPr>
          <w:spacing w:val="-30"/>
        </w:rPr>
        <w:t>年 </w:t>
      </w:r>
      <w:r>
        <w:rPr>
          <w:rFonts w:ascii="Times New Roman" w:eastAsia="Times New Roman"/>
        </w:rPr>
        <w:t>5 </w:t>
      </w:r>
      <w:r>
        <w:rPr>
          <w:spacing w:val="-4"/>
        </w:rPr>
        <w:t>月，</w:t>
      </w:r>
      <w:r>
        <w:rPr>
          <w:rFonts w:ascii="Times New Roman" w:eastAsia="Times New Roman"/>
          <w:spacing w:val="-7"/>
        </w:rPr>
        <w:t>WHO </w:t>
      </w:r>
      <w:r>
        <w:rPr>
          <w:spacing w:val="-6"/>
        </w:rPr>
        <w:t>报告</w:t>
      </w:r>
      <w:r>
        <w:rPr>
          <w:spacing w:val="-21"/>
        </w:rPr>
        <w:t>全球 </w:t>
      </w:r>
      <w:r>
        <w:rPr>
          <w:rFonts w:ascii="Times New Roman" w:eastAsia="Times New Roman"/>
        </w:rPr>
        <w:t>15000 </w:t>
      </w:r>
      <w:r>
        <w:rPr>
          <w:spacing w:val="-12"/>
        </w:rPr>
        <w:t>感染甲型 </w:t>
      </w:r>
      <w:r>
        <w:rPr>
          <w:rFonts w:ascii="Times New Roman" w:eastAsia="Times New Roman"/>
        </w:rPr>
        <w:t>H1N1 </w:t>
      </w:r>
      <w:r>
        <w:rPr/>
        <w:t>流感临床样本中，</w:t>
      </w:r>
      <w:r>
        <w:rPr>
          <w:rFonts w:ascii="Times New Roman" w:eastAsia="Times New Roman"/>
        </w:rPr>
        <w:t>312 </w:t>
      </w:r>
      <w:r>
        <w:rPr/>
        <w:t>个毒株对奥司他韦耐药。</w:t>
      </w:r>
    </w:p>
    <w:p>
      <w:pPr>
        <w:pStyle w:val="BodyText"/>
        <w:spacing w:line="297" w:lineRule="auto"/>
        <w:ind w:right="1127" w:firstLine="480"/>
        <w:jc w:val="both"/>
      </w:pPr>
      <w:r>
        <w:rPr>
          <w:spacing w:val="-16"/>
        </w:rPr>
        <w:t>我国在 </w:t>
      </w:r>
      <w:r>
        <w:rPr>
          <w:rFonts w:ascii="Times New Roman" w:eastAsia="Times New Roman"/>
        </w:rPr>
        <w:t>2002 </w:t>
      </w:r>
      <w:r>
        <w:rPr/>
        <w:t>年才开始引进奥司他韦治疗流感，与其他国家相比，时间较晚。因此，在我国检测到的耐药株比例也相对较小。</w:t>
      </w:r>
      <w:r>
        <w:rPr>
          <w:rFonts w:ascii="Times New Roman" w:eastAsia="Times New Roman"/>
        </w:rPr>
        <w:t>2011 </w:t>
      </w:r>
      <w:r>
        <w:rPr/>
        <w:t>年，我国流感监测中心的监测数据显示，几乎</w:t>
      </w:r>
      <w:r>
        <w:rPr>
          <w:spacing w:val="-5"/>
        </w:rPr>
        <w:t>所有季节性流感病毒，包括甲型 </w:t>
      </w:r>
      <w:r>
        <w:rPr>
          <w:rFonts w:ascii="Times New Roman" w:eastAsia="Times New Roman"/>
        </w:rPr>
        <w:t>H3N2</w:t>
      </w:r>
      <w:r>
        <w:rPr>
          <w:spacing w:val="-16"/>
        </w:rPr>
        <w:t>、甲型 </w:t>
      </w:r>
      <w:r>
        <w:rPr>
          <w:rFonts w:ascii="Times New Roman" w:eastAsia="Times New Roman"/>
        </w:rPr>
        <w:t>H1N1 </w:t>
      </w:r>
      <w:r>
        <w:rPr>
          <w:spacing w:val="-12"/>
        </w:rPr>
        <w:t>和新甲型 </w:t>
      </w:r>
      <w:r>
        <w:rPr>
          <w:rFonts w:ascii="Times New Roman" w:eastAsia="Times New Roman"/>
        </w:rPr>
        <w:t>H1N1 </w:t>
      </w:r>
      <w:r>
        <w:rPr>
          <w:spacing w:val="-2"/>
        </w:rPr>
        <w:t>流感病毒均对烷胺类药</w:t>
      </w:r>
      <w:r>
        <w:rPr>
          <w:spacing w:val="-10"/>
        </w:rPr>
        <w:t>物耐药。虽然也已检测到耐奥司他韦病毒株，但药物敏感性仍较高，因此奥司他韦至今依然</w:t>
      </w:r>
      <w:r>
        <w:rPr/>
        <w:t>是我国抗流感病毒的主要药物。</w:t>
      </w:r>
    </w:p>
    <w:p>
      <w:pPr>
        <w:pStyle w:val="Heading3"/>
        <w:spacing w:line="302" w:lineRule="exact"/>
        <w:rPr>
          <w:rFonts w:ascii="宋体" w:eastAsia="宋体" w:hint="eastAsia"/>
        </w:rPr>
      </w:pPr>
      <w:r>
        <w:rPr>
          <w:rFonts w:ascii="宋体" w:eastAsia="宋体" w:hint="eastAsia"/>
        </w:rPr>
        <w:t>病毒突变带来进一步威胁</w:t>
      </w:r>
    </w:p>
    <w:p>
      <w:pPr>
        <w:pStyle w:val="BodyText"/>
        <w:spacing w:before="63"/>
        <w:ind w:left="697"/>
      </w:pPr>
      <w:r>
        <w:rPr>
          <w:spacing w:val="-9"/>
        </w:rPr>
        <w:t>根据目前的研究报道，与</w:t>
      </w:r>
      <w:r>
        <w:rPr>
          <w:rFonts w:ascii="Times New Roman" w:eastAsia="Times New Roman"/>
        </w:rPr>
        <w:t>NA </w:t>
      </w:r>
      <w:r>
        <w:rPr>
          <w:spacing w:val="2"/>
        </w:rPr>
        <w:t>基因耐药有关的分子标记物主要有</w:t>
      </w:r>
      <w:r>
        <w:rPr>
          <w:rFonts w:ascii="Times New Roman" w:eastAsia="Times New Roman"/>
        </w:rPr>
        <w:t>E119V</w:t>
      </w:r>
      <w:r>
        <w:rPr>
          <w:spacing w:val="-120"/>
        </w:rPr>
        <w:t>、</w:t>
      </w:r>
      <w:r>
        <w:rPr>
          <w:rFonts w:ascii="Times New Roman" w:eastAsia="Times New Roman"/>
        </w:rPr>
        <w:t>Q136K</w:t>
      </w:r>
      <w:r>
        <w:rPr>
          <w:spacing w:val="-120"/>
        </w:rPr>
        <w:t>、</w:t>
      </w:r>
      <w:r>
        <w:rPr>
          <w:rFonts w:ascii="Times New Roman" w:eastAsia="Times New Roman"/>
        </w:rPr>
        <w:t>D151A</w:t>
      </w:r>
      <w:r>
        <w:rPr/>
        <w:t>、</w:t>
      </w:r>
    </w:p>
    <w:p>
      <w:pPr>
        <w:pStyle w:val="BodyText"/>
        <w:spacing w:before="74"/>
      </w:pPr>
      <w:r>
        <w:rPr>
          <w:rFonts w:ascii="Times New Roman" w:eastAsia="Times New Roman"/>
        </w:rPr>
        <w:t>I222V</w:t>
      </w:r>
      <w:r>
        <w:rPr/>
        <w:t>、</w:t>
      </w:r>
      <w:r>
        <w:rPr>
          <w:rFonts w:ascii="Times New Roman" w:eastAsia="Times New Roman"/>
        </w:rPr>
        <w:t>H274Y</w:t>
      </w:r>
      <w:r>
        <w:rPr/>
        <w:t>、</w:t>
      </w:r>
      <w:r>
        <w:rPr>
          <w:rFonts w:ascii="Times New Roman" w:eastAsia="Times New Roman"/>
        </w:rPr>
        <w:t>R292K </w:t>
      </w:r>
      <w:r>
        <w:rPr/>
        <w:t>和 </w:t>
      </w:r>
      <w:r>
        <w:rPr>
          <w:rFonts w:ascii="Times New Roman" w:eastAsia="Times New Roman"/>
        </w:rPr>
        <w:t>N294S</w:t>
      </w:r>
      <w:r>
        <w:rPr/>
        <w:t>。只要其中任意位点发生突变，病毒即产生耐药性。</w:t>
      </w:r>
    </w:p>
    <w:p>
      <w:pPr>
        <w:spacing w:after="0"/>
        <w:sectPr>
          <w:type w:val="continuous"/>
          <w:pgSz w:w="11910" w:h="16850"/>
          <w:pgMar w:top="1080" w:bottom="1020" w:left="1060" w:right="0"/>
        </w:sectPr>
      </w:pPr>
    </w:p>
    <w:p>
      <w:pPr>
        <w:pStyle w:val="BodyText"/>
        <w:spacing w:line="297" w:lineRule="auto" w:before="65"/>
        <w:ind w:right="1128" w:firstLine="480"/>
        <w:jc w:val="both"/>
      </w:pPr>
      <w:r>
        <w:rPr>
          <w:rFonts w:ascii="Times New Roman" w:eastAsia="Times New Roman"/>
        </w:rPr>
        <w:t>2014~2015 </w:t>
      </w:r>
      <w:r>
        <w:rPr>
          <w:spacing w:val="-8"/>
        </w:rPr>
        <w:t>我国年度监测的 </w:t>
      </w:r>
      <w:r>
        <w:rPr>
          <w:rFonts w:ascii="Times New Roman" w:eastAsia="Times New Roman"/>
        </w:rPr>
        <w:t>B </w:t>
      </w:r>
      <w:r>
        <w:rPr>
          <w:spacing w:val="-5"/>
        </w:rPr>
        <w:t>型流行株的氨基酸序列中，有 </w:t>
      </w:r>
      <w:r>
        <w:rPr>
          <w:rFonts w:ascii="Times New Roman" w:eastAsia="Times New Roman"/>
        </w:rPr>
        <w:t>8 </w:t>
      </w:r>
      <w:r>
        <w:rPr>
          <w:spacing w:val="-31"/>
        </w:rPr>
        <w:t>株 </w:t>
      </w:r>
      <w:r>
        <w:rPr>
          <w:rFonts w:ascii="Times New Roman" w:eastAsia="Times New Roman"/>
        </w:rPr>
        <w:t>Yamagata </w:t>
      </w:r>
      <w:r>
        <w:rPr/>
        <w:t>系病毒出现</w:t>
      </w:r>
      <w:r>
        <w:rPr>
          <w:spacing w:val="-1"/>
        </w:rPr>
        <w:t>耐药位点突变，其中，</w:t>
      </w:r>
      <w:r>
        <w:rPr>
          <w:rFonts w:ascii="Times New Roman" w:eastAsia="Times New Roman"/>
        </w:rPr>
        <w:t>6 </w:t>
      </w:r>
      <w:r>
        <w:rPr>
          <w:spacing w:val="-10"/>
        </w:rPr>
        <w:t>株病毒具有 </w:t>
      </w:r>
      <w:r>
        <w:rPr>
          <w:rFonts w:ascii="Times New Roman" w:eastAsia="Times New Roman"/>
        </w:rPr>
        <w:t>D197N </w:t>
      </w:r>
      <w:r>
        <w:rPr>
          <w:spacing w:val="-1"/>
        </w:rPr>
        <w:t>耐药位点突变，</w:t>
      </w:r>
      <w:r>
        <w:rPr>
          <w:rFonts w:ascii="Times New Roman" w:eastAsia="Times New Roman"/>
          <w:spacing w:val="-3"/>
        </w:rPr>
        <w:t>1 </w:t>
      </w:r>
      <w:r>
        <w:rPr>
          <w:spacing w:val="-10"/>
        </w:rPr>
        <w:t>株病毒具有 </w:t>
      </w:r>
      <w:r>
        <w:rPr>
          <w:rFonts w:ascii="Times New Roman" w:eastAsia="Times New Roman"/>
        </w:rPr>
        <w:t>I221T </w:t>
      </w:r>
      <w:r>
        <w:rPr>
          <w:spacing w:val="-1"/>
        </w:rPr>
        <w:t>突变，</w:t>
      </w:r>
      <w:r>
        <w:rPr>
          <w:rFonts w:ascii="Times New Roman" w:eastAsia="Times New Roman"/>
          <w:spacing w:val="-3"/>
        </w:rPr>
        <w:t>1 </w:t>
      </w:r>
      <w:r>
        <w:rPr>
          <w:spacing w:val="-13"/>
        </w:rPr>
        <w:t>株病毒具有 </w:t>
      </w:r>
      <w:r>
        <w:rPr>
          <w:rFonts w:ascii="Times New Roman" w:eastAsia="Times New Roman"/>
        </w:rPr>
        <w:t>A245T </w:t>
      </w:r>
      <w:r>
        <w:rPr>
          <w:spacing w:val="-7"/>
        </w:rPr>
        <w:t>突变，这些病毒对 </w:t>
      </w:r>
      <w:r>
        <w:rPr>
          <w:rFonts w:ascii="Times New Roman" w:eastAsia="Times New Roman"/>
        </w:rPr>
        <w:t>NAI </w:t>
      </w:r>
      <w:r>
        <w:rPr>
          <w:spacing w:val="-5"/>
        </w:rPr>
        <w:t>敏感性明显降低。同期监测的 </w:t>
      </w:r>
      <w:r>
        <w:rPr>
          <w:rFonts w:ascii="Times New Roman" w:eastAsia="Times New Roman"/>
        </w:rPr>
        <w:t>H3N2 </w:t>
      </w:r>
      <w:r>
        <w:rPr>
          <w:spacing w:val="-2"/>
        </w:rPr>
        <w:t>亚型流感病毒</w:t>
      </w:r>
      <w:r>
        <w:rPr>
          <w:rFonts w:ascii="Times New Roman" w:eastAsia="Times New Roman"/>
        </w:rPr>
        <w:t>A/Hunan-Yuhu/11014/2014 </w:t>
      </w:r>
      <w:r>
        <w:rPr>
          <w:spacing w:val="-30"/>
        </w:rPr>
        <w:t>和 </w:t>
      </w:r>
      <w:r>
        <w:rPr>
          <w:rFonts w:ascii="Times New Roman" w:eastAsia="Times New Roman"/>
        </w:rPr>
        <w:t>A/Hunan-Yuhu/1853/2014 </w:t>
      </w:r>
      <w:r>
        <w:rPr>
          <w:spacing w:val="-7"/>
        </w:rPr>
        <w:t>的细胞分离株，在 </w:t>
      </w:r>
      <w:r>
        <w:rPr>
          <w:rFonts w:ascii="Times New Roman" w:eastAsia="Times New Roman"/>
        </w:rPr>
        <w:t>NA </w:t>
      </w:r>
      <w:r>
        <w:rPr/>
        <w:t>基因上有</w:t>
      </w:r>
    </w:p>
    <w:p>
      <w:pPr>
        <w:pStyle w:val="BodyText"/>
        <w:spacing w:line="295" w:lineRule="auto"/>
        <w:ind w:right="887"/>
      </w:pPr>
      <w:r>
        <w:rPr>
          <w:rFonts w:ascii="Times New Roman" w:eastAsia="Times New Roman"/>
        </w:rPr>
        <w:t>Q136K  </w:t>
      </w:r>
      <w:r>
        <w:rPr/>
        <w:t>的变异。既往报道显示，此位点变异是在细胞扩增病毒的过程中发生的突变，在临床样本中还没有检出过，但此变异同时可导致 </w:t>
      </w:r>
      <w:r>
        <w:rPr>
          <w:rFonts w:ascii="Times New Roman" w:eastAsia="Times New Roman"/>
        </w:rPr>
        <w:t>H3N2 </w:t>
      </w:r>
      <w:r>
        <w:rPr/>
        <w:t>亚型流感病毒对扎那米韦的敏感性降低。</w:t>
      </w:r>
    </w:p>
    <w:p>
      <w:pPr>
        <w:pStyle w:val="BodyText"/>
        <w:spacing w:line="295" w:lineRule="auto"/>
        <w:ind w:right="1127"/>
      </w:pPr>
      <w:r>
        <w:rPr>
          <w:rFonts w:ascii="Times New Roman" w:eastAsia="Times New Roman"/>
        </w:rPr>
        <w:t>2016~2017 </w:t>
      </w:r>
      <w:r>
        <w:rPr>
          <w:spacing w:val="-5"/>
        </w:rPr>
        <w:t>年我国监测的甲型流感病毒 </w:t>
      </w:r>
      <w:r>
        <w:rPr>
          <w:rFonts w:ascii="Times New Roman" w:eastAsia="Times New Roman"/>
        </w:rPr>
        <w:t>H3N2 </w:t>
      </w:r>
      <w:r>
        <w:rPr>
          <w:spacing w:val="-15"/>
        </w:rPr>
        <w:t>中，有 </w:t>
      </w:r>
      <w:r>
        <w:rPr>
          <w:rFonts w:ascii="Times New Roman" w:eastAsia="Times New Roman"/>
        </w:rPr>
        <w:t>3 </w:t>
      </w:r>
      <w:r>
        <w:rPr>
          <w:spacing w:val="-12"/>
        </w:rPr>
        <w:t>株病毒的 </w:t>
      </w:r>
      <w:r>
        <w:rPr>
          <w:rFonts w:ascii="Times New Roman" w:eastAsia="Times New Roman"/>
        </w:rPr>
        <w:t>NA </w:t>
      </w:r>
      <w:r>
        <w:rPr>
          <w:spacing w:val="-12"/>
        </w:rPr>
        <w:t>蛋白发现 </w:t>
      </w:r>
      <w:r>
        <w:rPr>
          <w:rFonts w:ascii="Times New Roman" w:eastAsia="Times New Roman"/>
        </w:rPr>
        <w:t>H275Y </w:t>
      </w:r>
      <w:r>
        <w:rPr/>
        <w:t>耐药</w:t>
      </w:r>
      <w:r>
        <w:rPr>
          <w:spacing w:val="-12"/>
        </w:rPr>
        <w:t>位点突变，其他氨基酸位点未发生突变，这些耐药相关的关键氨基酸位点的变异可导致抗病</w:t>
      </w:r>
      <w:r>
        <w:rPr/>
        <w:t>毒药物的敏感性降低。</w:t>
      </w:r>
    </w:p>
    <w:p>
      <w:pPr>
        <w:pStyle w:val="BodyText"/>
        <w:spacing w:line="295" w:lineRule="auto" w:before="4"/>
        <w:ind w:right="1127" w:firstLine="480"/>
        <w:jc w:val="both"/>
      </w:pPr>
      <w:r>
        <w:rPr>
          <w:spacing w:val="-8"/>
        </w:rPr>
        <w:t>流感病毒突变株的出现，不仅使得抗流感药物的疗效下降，而且也给公共卫生安全带来</w:t>
      </w:r>
      <w:r>
        <w:rPr>
          <w:spacing w:val="-7"/>
        </w:rPr>
        <w:t>进一步威胁。正如 </w:t>
      </w:r>
      <w:r>
        <w:rPr>
          <w:rFonts w:ascii="Times New Roman" w:eastAsia="Times New Roman"/>
        </w:rPr>
        <w:t>2014 </w:t>
      </w:r>
      <w:r>
        <w:rPr>
          <w:spacing w:val="-30"/>
        </w:rPr>
        <w:t>年 </w:t>
      </w:r>
      <w:r>
        <w:rPr>
          <w:rFonts w:ascii="Times New Roman" w:eastAsia="Times New Roman"/>
        </w:rPr>
        <w:t>WHO </w:t>
      </w:r>
      <w:r>
        <w:rPr/>
        <w:t>耐药报告中关于流感病毒耐药部分所提到的，如果抗流感药物的耐药性未被及时发现，人类可能面临流感大流行和疾病严重程度增加的危险。</w:t>
      </w:r>
    </w:p>
    <w:p>
      <w:pPr>
        <w:pStyle w:val="BodyText"/>
        <w:spacing w:line="295" w:lineRule="auto" w:before="6"/>
        <w:ind w:right="1127" w:firstLine="480"/>
        <w:jc w:val="both"/>
      </w:pPr>
      <w:r>
        <w:rPr>
          <w:spacing w:val="-2"/>
        </w:rPr>
        <w:t>一项研究流感病毒对奥司他韦耐药与人群感染流感病毒后临床并发症关系的 </w:t>
      </w:r>
      <w:r>
        <w:rPr>
          <w:rFonts w:ascii="Times New Roman" w:eastAsia="Times New Roman"/>
        </w:rPr>
        <w:t>Meta </w:t>
      </w:r>
      <w:r>
        <w:rPr/>
        <w:t>分析</w:t>
      </w:r>
      <w:r>
        <w:rPr>
          <w:spacing w:val="-10"/>
        </w:rPr>
        <w:t>显示，奥司他韦耐药性与肺炎的发生率有相关性。奥司他韦敏感株感染患者，肺炎发病率约</w:t>
      </w:r>
      <w:r>
        <w:rPr>
          <w:spacing w:val="-30"/>
        </w:rPr>
        <w:t>为 </w:t>
      </w:r>
      <w:r>
        <w:rPr>
          <w:rFonts w:ascii="Times New Roman" w:eastAsia="Times New Roman"/>
        </w:rPr>
        <w:t>1%~3%</w:t>
      </w:r>
      <w:r>
        <w:rPr/>
        <w:t>，是奥司他韦耐药株感染患者肺炎发病率的四分之一。</w:t>
      </w:r>
    </w:p>
    <w:p>
      <w:pPr>
        <w:pStyle w:val="BodyText"/>
        <w:spacing w:line="297" w:lineRule="auto" w:before="5"/>
        <w:ind w:right="1127" w:firstLine="480"/>
        <w:jc w:val="both"/>
      </w:pPr>
      <w:r>
        <w:rPr>
          <w:spacing w:val="-10"/>
        </w:rPr>
        <w:t>因此，医务工作者在抗流感病毒临床用药策略中，应尽量参考当地流行的病毒类型、亚</w:t>
      </w:r>
      <w:r>
        <w:rPr>
          <w:spacing w:val="-12"/>
        </w:rPr>
        <w:t>型、耐药监测资料，以及患者特异的病理和生理状态，密切关注病毒变异导致的耐药现象对</w:t>
      </w:r>
      <w:r>
        <w:rPr>
          <w:spacing w:val="-10"/>
        </w:rPr>
        <w:t>临床转归的影响，争取把用药导致的病毒耐药性，以及可能引发的公共卫生安全威胁降到最</w:t>
      </w:r>
      <w:r>
        <w:rPr/>
        <w:t>低。</w:t>
      </w:r>
    </w:p>
    <w:p>
      <w:pPr>
        <w:pStyle w:val="BodyText"/>
        <w:spacing w:line="295" w:lineRule="auto"/>
        <w:ind w:right="1146" w:firstLine="480"/>
        <w:jc w:val="both"/>
      </w:pPr>
      <w:r>
        <w:rPr/>
        <w:t>作者：中日友好医院医院感染管理办公室副主任 郭丽萍  北京中医药大学管理学院硕士研究生 王莹丽</w:t>
      </w:r>
    </w:p>
    <w:p>
      <w:pPr>
        <w:pStyle w:val="BodyText"/>
        <w:spacing w:before="10"/>
        <w:ind w:left="0"/>
        <w:rPr>
          <w:sz w:val="17"/>
        </w:rPr>
      </w:pPr>
    </w:p>
    <w:p>
      <w:pPr>
        <w:pStyle w:val="Heading2"/>
      </w:pPr>
      <w:bookmarkStart w:name="_TOC_250020" w:id="25"/>
      <w:bookmarkEnd w:id="25"/>
      <w:r>
        <w:rPr/>
        <w:t>【指南解读】</w:t>
      </w:r>
    </w:p>
    <w:p>
      <w:pPr>
        <w:pStyle w:val="BodyText"/>
        <w:spacing w:before="6"/>
        <w:ind w:left="0"/>
        <w:rPr>
          <w:b/>
          <w:sz w:val="18"/>
        </w:rPr>
      </w:pPr>
    </w:p>
    <w:p>
      <w:pPr>
        <w:spacing w:after="0"/>
        <w:rPr>
          <w:sz w:val="18"/>
        </w:rPr>
        <w:sectPr>
          <w:pgSz w:w="11910" w:h="16850"/>
          <w:pgMar w:header="906" w:footer="607" w:top="1100" w:bottom="800" w:left="1060" w:right="0"/>
        </w:sectPr>
      </w:pPr>
    </w:p>
    <w:p>
      <w:pPr>
        <w:pStyle w:val="Heading2"/>
        <w:spacing w:before="55"/>
        <w:ind w:left="2715"/>
      </w:pPr>
      <w:bookmarkStart w:name="_TOC_250019" w:id="26"/>
      <w:bookmarkEnd w:id="26"/>
      <w:r>
        <w:rPr>
          <w:spacing w:val="-2"/>
        </w:rPr>
        <w:t>心血管疾病领域两用药指南更新</w:t>
      </w:r>
    </w:p>
    <w:p>
      <w:pPr>
        <w:pStyle w:val="BodyText"/>
        <w:ind w:left="0"/>
        <w:rPr>
          <w:b/>
        </w:rPr>
      </w:pPr>
      <w:r>
        <w:rPr/>
        <w:br w:type="column"/>
      </w:r>
      <w:r>
        <w:rPr>
          <w:b/>
        </w:rPr>
      </w:r>
    </w:p>
    <w:p>
      <w:pPr>
        <w:pStyle w:val="BodyText"/>
        <w:spacing w:before="10"/>
        <w:ind w:left="0"/>
        <w:rPr>
          <w:b/>
          <w:sz w:val="23"/>
        </w:rPr>
      </w:pPr>
    </w:p>
    <w:p>
      <w:pPr>
        <w:pStyle w:val="Heading3"/>
        <w:spacing w:before="1"/>
        <w:ind w:left="536"/>
      </w:pPr>
      <w:r>
        <w:rPr>
          <w:color w:val="FF0000"/>
        </w:rPr>
        <w:t>（来源：健康报）</w:t>
      </w:r>
    </w:p>
    <w:p>
      <w:pPr>
        <w:spacing w:after="0"/>
        <w:sectPr>
          <w:type w:val="continuous"/>
          <w:pgSz w:w="11910" w:h="16850"/>
          <w:pgMar w:top="1080" w:bottom="1020" w:left="1060" w:right="0"/>
          <w:cols w:num="2" w:equalWidth="0">
            <w:col w:w="7212" w:space="40"/>
            <w:col w:w="3598"/>
          </w:cols>
        </w:sectPr>
      </w:pPr>
    </w:p>
    <w:p>
      <w:pPr>
        <w:pStyle w:val="BodyText"/>
        <w:spacing w:line="297" w:lineRule="auto" w:before="95"/>
        <w:ind w:right="1127" w:firstLine="480"/>
        <w:jc w:val="both"/>
      </w:pPr>
      <w:r>
        <w:rPr>
          <w:spacing w:val="-4"/>
        </w:rPr>
        <w:t>近日，《心血管疾病合理用药系列指南》的两个分册</w:t>
      </w:r>
      <w:r>
        <w:rPr>
          <w:rFonts w:ascii="Calibri" w:hAnsi="Calibri" w:eastAsia="Calibri"/>
          <w:spacing w:val="-4"/>
        </w:rPr>
        <w:t>—</w:t>
      </w:r>
      <w:r>
        <w:rPr>
          <w:spacing w:val="-6"/>
        </w:rPr>
        <w:t>《血脂异常合理用药指南》第 </w:t>
      </w:r>
      <w:r>
        <w:rPr>
          <w:rFonts w:ascii="Times New Roman" w:hAnsi="Times New Roman" w:eastAsia="Times New Roman"/>
          <w:spacing w:val="-14"/>
        </w:rPr>
        <w:t>2 </w:t>
      </w:r>
      <w:r>
        <w:rPr>
          <w:spacing w:val="-13"/>
        </w:rPr>
        <w:t>版、《急性 </w:t>
      </w:r>
      <w:r>
        <w:rPr>
          <w:rFonts w:ascii="Times New Roman" w:hAnsi="Times New Roman" w:eastAsia="Times New Roman"/>
        </w:rPr>
        <w:t>ST </w:t>
      </w:r>
      <w:r>
        <w:rPr>
          <w:spacing w:val="-5"/>
        </w:rPr>
        <w:t>段抬高型心肌梗死溶栓治疗的合理用药指南》第 </w:t>
      </w:r>
      <w:r>
        <w:rPr>
          <w:rFonts w:ascii="Times New Roman" w:hAnsi="Times New Roman" w:eastAsia="Times New Roman"/>
        </w:rPr>
        <w:t>2 </w:t>
      </w:r>
      <w:r>
        <w:rPr>
          <w:spacing w:val="-3"/>
        </w:rPr>
        <w:t>版发布会在京召开。专家</w:t>
      </w:r>
      <w:r>
        <w:rPr>
          <w:spacing w:val="-11"/>
        </w:rPr>
        <w:t>指出，修订的《指南》更新了流行病学资料，补充了循证医学证据和中国数据；着眼临床治</w:t>
      </w:r>
      <w:r>
        <w:rPr>
          <w:spacing w:val="-15"/>
        </w:rPr>
        <w:t>疗中的热点难点，补充和细化了推荐药物，增加了核心治疗药物的药理作用介绍等，力求方</w:t>
      </w:r>
      <w:r>
        <w:rPr/>
        <w:t>便实用。</w:t>
      </w:r>
    </w:p>
    <w:p>
      <w:pPr>
        <w:pStyle w:val="BodyText"/>
        <w:spacing w:line="295" w:lineRule="auto"/>
        <w:ind w:right="1145" w:firstLine="480"/>
      </w:pPr>
      <w:r>
        <w:rPr/>
        <w:t>据介绍，《心血管疾病合理用药系列指南》包括高血压、冠心病、血脂异常、</w:t>
      </w:r>
      <w:r>
        <w:rPr>
          <w:rFonts w:ascii="Times New Roman" w:eastAsia="Times New Roman"/>
        </w:rPr>
        <w:t>ST </w:t>
      </w:r>
      <w:r>
        <w:rPr/>
        <w:t>段抬</w:t>
      </w:r>
      <w:r>
        <w:rPr>
          <w:spacing w:val="-3"/>
        </w:rPr>
        <w:t>高型心肌梗死溶栓、心力衰竭、心律失常等 </w:t>
      </w:r>
      <w:r>
        <w:rPr>
          <w:rFonts w:ascii="Times New Roman" w:eastAsia="Times New Roman"/>
        </w:rPr>
        <w:t>6 </w:t>
      </w:r>
      <w:r>
        <w:rPr>
          <w:spacing w:val="-10"/>
        </w:rPr>
        <w:t>个分册，第 </w:t>
      </w:r>
      <w:r>
        <w:rPr>
          <w:rFonts w:ascii="Times New Roman" w:eastAsia="Times New Roman"/>
        </w:rPr>
        <w:t>1 </w:t>
      </w:r>
      <w:r>
        <w:rPr>
          <w:spacing w:val="-10"/>
        </w:rPr>
        <w:t>版总发行量 </w:t>
      </w:r>
      <w:r>
        <w:rPr>
          <w:rFonts w:ascii="Times New Roman" w:eastAsia="Times New Roman"/>
        </w:rPr>
        <w:t>13 </w:t>
      </w:r>
      <w:r>
        <w:rPr>
          <w:spacing w:val="-3"/>
        </w:rPr>
        <w:t>万余册。中国药</w:t>
      </w:r>
    </w:p>
    <w:p>
      <w:pPr>
        <w:pStyle w:val="BodyText"/>
        <w:spacing w:line="297" w:lineRule="auto"/>
        <w:ind w:right="1129"/>
      </w:pPr>
      <w:r>
        <w:rPr>
          <w:spacing w:val="-11"/>
        </w:rPr>
        <w:t>师协会会长张耀华指出，《心血管疾病合理用药系列指南》凝聚了 </w:t>
      </w:r>
      <w:r>
        <w:rPr>
          <w:rFonts w:ascii="Times New Roman" w:eastAsia="Times New Roman"/>
        </w:rPr>
        <w:t>200 </w:t>
      </w:r>
      <w:r>
        <w:rPr>
          <w:spacing w:val="-2"/>
        </w:rPr>
        <w:t>多位专家的智慧和心</w:t>
      </w:r>
      <w:r>
        <w:rPr/>
        <w:t>血，获得了非常好的社会反响。</w:t>
      </w:r>
    </w:p>
    <w:p>
      <w:pPr>
        <w:pStyle w:val="BodyText"/>
        <w:spacing w:line="297" w:lineRule="auto"/>
        <w:ind w:right="1010" w:firstLine="480"/>
      </w:pPr>
      <w:r>
        <w:rPr>
          <w:spacing w:val="-15"/>
        </w:rPr>
        <w:t>《心血管疾病合理用药系列指南》总主编、北京大学第一医院心内科主任霍勇教授指出， </w:t>
      </w:r>
      <w:r>
        <w:rPr>
          <w:spacing w:val="-30"/>
        </w:rPr>
        <w:t>第 </w:t>
      </w:r>
      <w:r>
        <w:rPr>
          <w:rFonts w:ascii="Times New Roman" w:eastAsia="Times New Roman"/>
        </w:rPr>
        <w:t>2 </w:t>
      </w:r>
      <w:r>
        <w:rPr>
          <w:spacing w:val="-11"/>
        </w:rPr>
        <w:t>版《指南》更加符合我国国情，能够切实指导基层医务工作者合理使用降脂药物及溶栓药物，提高医生合理用药的能力和水平。</w:t>
      </w:r>
    </w:p>
    <w:p>
      <w:pPr>
        <w:spacing w:after="0" w:line="297" w:lineRule="auto"/>
        <w:sectPr>
          <w:type w:val="continuous"/>
          <w:pgSz w:w="11910" w:h="16850"/>
          <w:pgMar w:top="1080" w:bottom="1020" w:left="1060" w:right="0"/>
        </w:sectPr>
      </w:pPr>
    </w:p>
    <w:p>
      <w:pPr>
        <w:pStyle w:val="Heading2"/>
        <w:spacing w:before="13"/>
      </w:pPr>
      <w:bookmarkStart w:name="_TOC_250018" w:id="27"/>
      <w:bookmarkEnd w:id="27"/>
      <w:r>
        <w:rPr/>
        <w:t>【药物警戒】</w:t>
      </w:r>
    </w:p>
    <w:p>
      <w:pPr>
        <w:pStyle w:val="BodyText"/>
        <w:spacing w:before="9"/>
        <w:ind w:left="0"/>
        <w:rPr>
          <w:b/>
          <w:sz w:val="22"/>
        </w:rPr>
      </w:pPr>
    </w:p>
    <w:p>
      <w:pPr>
        <w:pStyle w:val="Heading2"/>
        <w:spacing w:before="1"/>
        <w:ind w:left="1592"/>
      </w:pPr>
      <w:bookmarkStart w:name="_TOC_250017" w:id="28"/>
      <w:bookmarkEnd w:id="28"/>
      <w:r>
        <w:rPr/>
        <w:t>关于修订肿节风注射液和小金制剂说明书的公告</w:t>
      </w:r>
    </w:p>
    <w:p>
      <w:pPr>
        <w:pStyle w:val="Heading3"/>
        <w:spacing w:before="142"/>
        <w:ind w:left="5860"/>
      </w:pPr>
      <w:r>
        <w:rPr>
          <w:color w:val="FF0000"/>
          <w:w w:val="95"/>
        </w:rPr>
        <w:t>（来源：国家药品监督管理局网站）</w:t>
      </w:r>
    </w:p>
    <w:p>
      <w:pPr>
        <w:pStyle w:val="BodyText"/>
        <w:spacing w:line="295" w:lineRule="auto" w:before="168"/>
        <w:ind w:right="1127" w:firstLine="480"/>
      </w:pPr>
      <w:r>
        <w:rPr>
          <w:spacing w:val="-7"/>
        </w:rPr>
        <w:t>根据药品不良反应评估结果，为进一步保障公众用药安全，国家药品监督管理局决定对</w:t>
      </w:r>
      <w:r>
        <w:rPr>
          <w:spacing w:val="-12"/>
        </w:rPr>
        <w:t>肿节风注射液增加警示语，对其和小金制剂</w:t>
      </w:r>
      <w:r>
        <w:rPr/>
        <w:t>（</w:t>
      </w:r>
      <w:r>
        <w:rPr>
          <w:spacing w:val="-20"/>
        </w:rPr>
        <w:t>丸剂、胶囊剂、片剂</w:t>
      </w:r>
      <w:r>
        <w:rPr>
          <w:spacing w:val="-84"/>
        </w:rPr>
        <w:t>）</w:t>
      </w:r>
      <w:r>
        <w:rPr>
          <w:spacing w:val="-17"/>
        </w:rPr>
        <w:t>药品说明书【不良反应】、</w:t>
      </w:r>
    </w:p>
    <w:p>
      <w:pPr>
        <w:pStyle w:val="BodyText"/>
        <w:spacing w:before="4"/>
      </w:pPr>
      <w:r>
        <w:rPr/>
        <w:t>【禁忌】和【注意事项】项进行修订。现将有关事项公告如下：</w:t>
      </w:r>
    </w:p>
    <w:p>
      <w:pPr>
        <w:pStyle w:val="BodyText"/>
        <w:spacing w:line="297" w:lineRule="auto" w:before="72"/>
        <w:ind w:right="1128" w:firstLine="480"/>
        <w:jc w:val="both"/>
      </w:pPr>
      <w:r>
        <w:rPr>
          <w:spacing w:val="-20"/>
        </w:rPr>
        <w:t>一、所有肿节风注射液和小金制剂生产企业均应依据《药品注册管理办法》等有关规定， </w:t>
      </w:r>
      <w:r>
        <w:rPr>
          <w:spacing w:val="-3"/>
        </w:rPr>
        <w:t>按照相应说明书修订要求</w:t>
      </w:r>
      <w:r>
        <w:rPr/>
        <w:t>（</w:t>
      </w:r>
      <w:r>
        <w:rPr>
          <w:spacing w:val="-15"/>
        </w:rPr>
        <w:t>见附件 </w:t>
      </w:r>
      <w:r>
        <w:rPr>
          <w:rFonts w:ascii="Times New Roman" w:hAnsi="Times New Roman" w:eastAsia="Times New Roman"/>
          <w:spacing w:val="-11"/>
        </w:rPr>
        <w:t>1</w:t>
      </w:r>
      <w:r>
        <w:rPr>
          <w:spacing w:val="-11"/>
        </w:rPr>
        <w:t>—</w:t>
      </w:r>
      <w:r>
        <w:rPr>
          <w:rFonts w:ascii="Times New Roman" w:hAnsi="Times New Roman" w:eastAsia="Times New Roman"/>
          <w:spacing w:val="-11"/>
        </w:rPr>
        <w:t>3</w:t>
      </w:r>
      <w:r>
        <w:rPr>
          <w:spacing w:val="-11"/>
        </w:rPr>
        <w:t>），</w:t>
      </w:r>
      <w:r>
        <w:rPr>
          <w:spacing w:val="-7"/>
        </w:rPr>
        <w:t>提出修订说明书的补充申请，于 </w:t>
      </w:r>
      <w:r>
        <w:rPr>
          <w:rFonts w:ascii="Times New Roman" w:hAnsi="Times New Roman" w:eastAsia="Times New Roman"/>
        </w:rPr>
        <w:t>2019 </w:t>
      </w:r>
      <w:r>
        <w:rPr>
          <w:spacing w:val="-30"/>
        </w:rPr>
        <w:t>年 </w:t>
      </w:r>
      <w:r>
        <w:rPr>
          <w:rFonts w:ascii="Times New Roman" w:hAnsi="Times New Roman" w:eastAsia="Times New Roman"/>
        </w:rPr>
        <w:t>3 </w:t>
      </w:r>
      <w:r>
        <w:rPr>
          <w:spacing w:val="-30"/>
        </w:rPr>
        <w:t>月 </w:t>
      </w:r>
      <w:r>
        <w:rPr>
          <w:rFonts w:ascii="Times New Roman" w:hAnsi="Times New Roman" w:eastAsia="Times New Roman"/>
          <w:spacing w:val="-7"/>
        </w:rPr>
        <w:t>10 </w:t>
      </w:r>
      <w:r>
        <w:rPr/>
        <w:t>日前报省级药品监管部门备案。</w:t>
      </w:r>
    </w:p>
    <w:p>
      <w:pPr>
        <w:pStyle w:val="BodyText"/>
        <w:spacing w:line="295" w:lineRule="auto"/>
        <w:ind w:right="1127" w:firstLine="480"/>
      </w:pPr>
      <w:r>
        <w:rPr>
          <w:spacing w:val="-9"/>
        </w:rPr>
        <w:t>修订内容涉及药品标签的，应当一并进行修订；说明书及标签其他内容应当与原批准内</w:t>
      </w:r>
      <w:r>
        <w:rPr>
          <w:spacing w:val="-5"/>
        </w:rPr>
        <w:t>容一致。在补充申请备案后 </w:t>
      </w:r>
      <w:r>
        <w:rPr>
          <w:rFonts w:ascii="Times New Roman" w:eastAsia="Times New Roman"/>
        </w:rPr>
        <w:t>6 </w:t>
      </w:r>
      <w:r>
        <w:rPr/>
        <w:t>个月内对已出厂的药品说明书及标签予以更换。</w:t>
      </w:r>
    </w:p>
    <w:p>
      <w:pPr>
        <w:pStyle w:val="BodyText"/>
        <w:spacing w:line="295" w:lineRule="auto" w:before="1"/>
        <w:ind w:right="1130" w:firstLine="480"/>
      </w:pPr>
      <w:r>
        <w:rPr>
          <w:spacing w:val="-5"/>
        </w:rPr>
        <w:t>上述药品各生产企业应当对新增不良反应发生机制开展深入研究，采取有效措施做好相</w:t>
      </w:r>
      <w:r>
        <w:rPr/>
        <w:t>关药品使用和安全性问题的宣传培训，指导医师合理用药。</w:t>
      </w:r>
    </w:p>
    <w:p>
      <w:pPr>
        <w:pStyle w:val="BodyText"/>
        <w:spacing w:line="297" w:lineRule="auto" w:before="2"/>
        <w:ind w:right="1127" w:firstLine="480"/>
      </w:pPr>
      <w:r>
        <w:rPr>
          <w:spacing w:val="-10"/>
        </w:rPr>
        <w:t>二、临床医师应当仔细阅读上述药品说明书的修订内容，在选择用药时，应当根据新修</w:t>
      </w:r>
      <w:r>
        <w:rPr/>
        <w:t>订说明书进行充分的效益</w:t>
      </w:r>
      <w:r>
        <w:rPr>
          <w:rFonts w:ascii="Times New Roman" w:eastAsia="Times New Roman"/>
        </w:rPr>
        <w:t>/</w:t>
      </w:r>
      <w:r>
        <w:rPr/>
        <w:t>风险分析。</w:t>
      </w:r>
    </w:p>
    <w:p>
      <w:pPr>
        <w:pStyle w:val="BodyText"/>
        <w:spacing w:line="295" w:lineRule="auto"/>
        <w:ind w:left="697" w:right="1130"/>
      </w:pPr>
      <w:r>
        <w:rPr>
          <w:spacing w:val="-22"/>
        </w:rPr>
        <w:t>三、上述药品为处方药，患者应严格遵医嘱用药，用药前应当仔细阅读上述药品说明书。</w:t>
      </w:r>
      <w:r>
        <w:rPr>
          <w:spacing w:val="-12"/>
        </w:rPr>
        <w:t>四、各省级药品监管部门应当督促行政区域内的上述药品生产企业按要求做好相应说明</w:t>
      </w:r>
    </w:p>
    <w:p>
      <w:pPr>
        <w:pStyle w:val="BodyText"/>
        <w:spacing w:line="295" w:lineRule="auto" w:before="3"/>
        <w:ind w:left="697" w:right="7027" w:hanging="480"/>
      </w:pPr>
      <w:r>
        <w:rPr/>
        <w:t>书修订和标签、说明书更换工作。特此公告。</w:t>
      </w:r>
    </w:p>
    <w:p>
      <w:pPr>
        <w:pStyle w:val="BodyText"/>
        <w:spacing w:before="2"/>
        <w:ind w:left="697"/>
      </w:pPr>
      <w:r>
        <w:rPr/>
        <w:t>附件：</w:t>
      </w:r>
      <w:r>
        <w:rPr>
          <w:rFonts w:ascii="Times New Roman" w:eastAsia="Times New Roman"/>
        </w:rPr>
        <w:t>1.</w:t>
      </w:r>
      <w:r>
        <w:rPr/>
        <w:t>肿节风注射液说明书修订要求</w:t>
      </w:r>
    </w:p>
    <w:p>
      <w:pPr>
        <w:pStyle w:val="ListParagraph"/>
        <w:numPr>
          <w:ilvl w:val="1"/>
          <w:numId w:val="3"/>
        </w:numPr>
        <w:tabs>
          <w:tab w:pos="1599" w:val="left" w:leader="none"/>
        </w:tabs>
        <w:spacing w:line="240" w:lineRule="auto" w:before="74" w:after="0"/>
        <w:ind w:left="1598" w:right="0" w:hanging="181"/>
        <w:jc w:val="left"/>
        <w:rPr>
          <w:sz w:val="24"/>
        </w:rPr>
      </w:pPr>
      <w:r>
        <w:rPr>
          <w:sz w:val="24"/>
        </w:rPr>
        <w:t>小金丸（胶囊）说明书修订要求</w:t>
      </w:r>
    </w:p>
    <w:p>
      <w:pPr>
        <w:pStyle w:val="ListParagraph"/>
        <w:numPr>
          <w:ilvl w:val="1"/>
          <w:numId w:val="3"/>
        </w:numPr>
        <w:tabs>
          <w:tab w:pos="1599" w:val="left" w:leader="none"/>
        </w:tabs>
        <w:spacing w:line="240" w:lineRule="auto" w:before="72" w:after="0"/>
        <w:ind w:left="1598" w:right="0" w:hanging="181"/>
        <w:jc w:val="left"/>
        <w:rPr>
          <w:sz w:val="24"/>
        </w:rPr>
      </w:pPr>
      <w:r>
        <w:rPr>
          <w:sz w:val="24"/>
        </w:rPr>
        <w:t>小金片说明书修订要求</w:t>
      </w:r>
    </w:p>
    <w:p>
      <w:pPr>
        <w:pStyle w:val="BodyText"/>
        <w:tabs>
          <w:tab w:pos="2257" w:val="left" w:leader="none"/>
        </w:tabs>
        <w:spacing w:line="297" w:lineRule="auto" w:before="72"/>
        <w:ind w:left="697" w:right="3023"/>
      </w:pPr>
      <w:r>
        <w:rPr/>
        <w:t>附件请链接</w:t>
      </w:r>
      <w:r>
        <w:rPr>
          <w:rFonts w:ascii="Times New Roman" w:eastAsia="Times New Roman"/>
        </w:rPr>
        <w:t>:</w:t>
      </w:r>
      <w:r>
        <w:rPr>
          <w:rFonts w:ascii="Times New Roman" w:eastAsia="Times New Roman"/>
          <w:spacing w:val="-8"/>
        </w:rPr>
        <w:t> </w:t>
      </w:r>
      <w:hyperlink r:id="rId13">
        <w:r>
          <w:rPr>
            <w:rFonts w:ascii="Times New Roman" w:eastAsia="Times New Roman"/>
            <w:color w:val="0000FF"/>
            <w:u w:val="single" w:color="0000FF"/>
          </w:rPr>
          <w:t>http://www.nmpa.gov.cn/WS04/CL2115/334298.html</w:t>
        </w:r>
      </w:hyperlink>
      <w:r>
        <w:rPr>
          <w:rFonts w:ascii="Times New Roman" w:eastAsia="Times New Roman"/>
          <w:color w:val="0000FF"/>
          <w:spacing w:val="58"/>
        </w:rPr>
        <w:t> </w:t>
      </w:r>
      <w:r>
        <w:rPr/>
        <w:t>下载国家药监局</w:t>
        <w:tab/>
      </w:r>
      <w:r>
        <w:rPr>
          <w:rFonts w:ascii="Times New Roman" w:eastAsia="Times New Roman"/>
        </w:rPr>
        <w:t>2018 </w:t>
      </w:r>
      <w:r>
        <w:rPr/>
        <w:t>年</w:t>
      </w:r>
      <w:r>
        <w:rPr>
          <w:spacing w:val="-60"/>
        </w:rPr>
        <w:t> </w:t>
      </w:r>
      <w:r>
        <w:rPr>
          <w:rFonts w:ascii="Times New Roman" w:eastAsia="Times New Roman"/>
        </w:rPr>
        <w:t>12 </w:t>
      </w:r>
      <w:r>
        <w:rPr/>
        <w:t>月</w:t>
      </w:r>
      <w:r>
        <w:rPr>
          <w:spacing w:val="-60"/>
        </w:rPr>
        <w:t> </w:t>
      </w:r>
      <w:r>
        <w:rPr>
          <w:rFonts w:ascii="Times New Roman" w:eastAsia="Times New Roman"/>
        </w:rPr>
        <w:t>25 </w:t>
      </w:r>
      <w:r>
        <w:rPr/>
        <w:t>日</w:t>
      </w:r>
    </w:p>
    <w:p>
      <w:pPr>
        <w:pStyle w:val="Heading2"/>
        <w:spacing w:before="230"/>
        <w:ind w:left="949"/>
      </w:pPr>
      <w:bookmarkStart w:name="_TOC_250016" w:id="29"/>
      <w:bookmarkEnd w:id="29"/>
      <w:r>
        <w:rPr/>
        <w:t>关于修订养血清脑颗粒（丸）非处方药说明书范本的公告</w:t>
      </w:r>
    </w:p>
    <w:p>
      <w:pPr>
        <w:pStyle w:val="Heading3"/>
        <w:spacing w:before="141"/>
        <w:ind w:left="5860"/>
      </w:pPr>
      <w:r>
        <w:rPr>
          <w:color w:val="FF0000"/>
        </w:rPr>
        <w:t>（来源：国家药品监督管理局网站）</w:t>
      </w:r>
    </w:p>
    <w:p>
      <w:pPr>
        <w:pStyle w:val="BodyText"/>
        <w:spacing w:line="295" w:lineRule="auto" w:before="167"/>
        <w:ind w:right="1127" w:firstLine="480"/>
      </w:pPr>
      <w:r>
        <w:rPr>
          <w:spacing w:val="-10"/>
        </w:rPr>
        <w:t>根据监测评价结果，为进一步保障公众用药安全，国家药品监督管理局决定对养血清脑</w:t>
      </w:r>
      <w:r>
        <w:rPr/>
        <w:t>颗粒（丸）非处方药说明书范本进行修订。现将有关事项公告如下：</w:t>
      </w:r>
    </w:p>
    <w:p>
      <w:pPr>
        <w:pStyle w:val="BodyText"/>
        <w:spacing w:line="295" w:lineRule="auto" w:before="5"/>
        <w:ind w:right="1127" w:firstLine="480"/>
      </w:pPr>
      <w:r>
        <w:rPr>
          <w:spacing w:val="-6"/>
        </w:rPr>
        <w:t>一、养血清脑颗粒</w:t>
      </w:r>
      <w:r>
        <w:rPr/>
        <w:t>（丸</w:t>
      </w:r>
      <w:r>
        <w:rPr>
          <w:spacing w:val="-17"/>
        </w:rPr>
        <w:t>）</w:t>
      </w:r>
      <w:r>
        <w:rPr>
          <w:spacing w:val="-6"/>
        </w:rPr>
        <w:t>生产企业应依据《药品注册管理办法》等有关规定，按照养血</w:t>
      </w:r>
      <w:r>
        <w:rPr/>
        <w:t>清脑颗粒（丸）非处方药说明书范本（见附件），</w:t>
      </w:r>
      <w:r>
        <w:rPr>
          <w:spacing w:val="-4"/>
        </w:rPr>
        <w:t>提出修订说明书的补充申请，于 </w:t>
      </w:r>
      <w:r>
        <w:rPr>
          <w:rFonts w:ascii="Times New Roman" w:eastAsia="Times New Roman"/>
        </w:rPr>
        <w:t>2019 </w:t>
      </w:r>
      <w:r>
        <w:rPr/>
        <w:t>年</w:t>
      </w:r>
    </w:p>
    <w:p>
      <w:pPr>
        <w:pStyle w:val="BodyText"/>
        <w:spacing w:before="2"/>
      </w:pPr>
      <w:r>
        <w:rPr>
          <w:rFonts w:ascii="Times New Roman" w:eastAsia="Times New Roman"/>
        </w:rPr>
        <w:t>3 </w:t>
      </w:r>
      <w:r>
        <w:rPr/>
        <w:t>月 </w:t>
      </w:r>
      <w:r>
        <w:rPr>
          <w:rFonts w:ascii="Times New Roman" w:eastAsia="Times New Roman"/>
        </w:rPr>
        <w:t>20 </w:t>
      </w:r>
      <w:r>
        <w:rPr/>
        <w:t>日前报省级药品监管部门备案。</w:t>
      </w:r>
    </w:p>
    <w:p>
      <w:pPr>
        <w:pStyle w:val="BodyText"/>
        <w:spacing w:line="295" w:lineRule="auto" w:before="74"/>
        <w:ind w:right="1127" w:firstLine="480"/>
      </w:pPr>
      <w:r>
        <w:rPr>
          <w:spacing w:val="-9"/>
        </w:rPr>
        <w:t>修订内容涉及药品标签的，应当一并进行修订；说明书及标签其他内容应当与原批准内</w:t>
      </w:r>
      <w:r>
        <w:rPr/>
        <w:t>容一致。在补充申请备案之日起生产的药品，不得继续使用原药品说明书。</w:t>
      </w:r>
    </w:p>
    <w:p>
      <w:pPr>
        <w:pStyle w:val="BodyText"/>
        <w:spacing w:line="297" w:lineRule="auto" w:before="2"/>
        <w:ind w:right="1014" w:firstLine="480"/>
      </w:pPr>
      <w:r>
        <w:rPr/>
        <w:t>上述药品生产企业应当采取有效措施及时做好该品种使用和安全性问题的宣传和培训， 指导医师、药师和患者合理用药。</w:t>
      </w:r>
    </w:p>
    <w:p>
      <w:pPr>
        <w:spacing w:after="0" w:line="297" w:lineRule="auto"/>
        <w:sectPr>
          <w:pgSz w:w="11910" w:h="16850"/>
          <w:pgMar w:header="906" w:footer="607" w:top="1100" w:bottom="800" w:left="1060" w:right="0"/>
        </w:sectPr>
      </w:pPr>
    </w:p>
    <w:p>
      <w:pPr>
        <w:pStyle w:val="BodyText"/>
        <w:spacing w:line="295" w:lineRule="auto" w:before="65"/>
        <w:ind w:right="1014" w:firstLine="480"/>
      </w:pPr>
      <w:r>
        <w:rPr/>
        <w:t>二、临床医师、药师应当仔细阅读上述药品说明书的修订内容，在选择或指导用药时， 应当根据新修订说明书进行充分的效益</w:t>
      </w:r>
      <w:r>
        <w:rPr>
          <w:rFonts w:ascii="Times New Roman" w:eastAsia="Times New Roman"/>
        </w:rPr>
        <w:t>/</w:t>
      </w:r>
      <w:r>
        <w:rPr/>
        <w:t>风险分析或指导用药。</w:t>
      </w:r>
    </w:p>
    <w:p>
      <w:pPr>
        <w:pStyle w:val="BodyText"/>
        <w:spacing w:before="2"/>
        <w:ind w:left="697"/>
      </w:pPr>
      <w:r>
        <w:rPr/>
        <w:t>三、患者用药前应当仔细阅读养血清脑颗粒（丸）非处方药说明书。</w:t>
      </w:r>
    </w:p>
    <w:p>
      <w:pPr>
        <w:pStyle w:val="BodyText"/>
        <w:spacing w:line="295" w:lineRule="auto" w:before="74"/>
        <w:ind w:right="1128" w:firstLine="480"/>
      </w:pPr>
      <w:r>
        <w:rPr>
          <w:spacing w:val="-12"/>
        </w:rPr>
        <w:t>四、各省级药品监管部门应当督促行政区域内的相关药品生产企业按要求做好上述药品</w:t>
      </w:r>
      <w:r>
        <w:rPr/>
        <w:t>说明书修订和标签、说明书更换工作。</w:t>
      </w:r>
    </w:p>
    <w:p>
      <w:pPr>
        <w:pStyle w:val="BodyText"/>
        <w:spacing w:before="2"/>
        <w:ind w:left="697"/>
      </w:pPr>
      <w:r>
        <w:rPr/>
        <w:t>特此公告。</w:t>
      </w:r>
    </w:p>
    <w:p>
      <w:pPr>
        <w:pStyle w:val="BodyText"/>
        <w:spacing w:before="74"/>
        <w:ind w:left="697"/>
      </w:pPr>
      <w:r>
        <w:rPr/>
        <w:t>附件：养血清脑颗粒（丸）非处方药说明书范本</w:t>
      </w:r>
    </w:p>
    <w:p>
      <w:pPr>
        <w:pStyle w:val="BodyText"/>
        <w:tabs>
          <w:tab w:pos="7576" w:val="left" w:leader="none"/>
        </w:tabs>
        <w:spacing w:before="72"/>
        <w:ind w:left="697"/>
      </w:pPr>
      <w:r>
        <w:rPr/>
        <w:t>附件请链接：</w:t>
      </w:r>
      <w:hyperlink r:id="rId14">
        <w:r>
          <w:rPr>
            <w:rFonts w:ascii="Times New Roman" w:eastAsia="Times New Roman"/>
            <w:color w:val="0000FF"/>
            <w:u w:val="single" w:color="0000FF"/>
          </w:rPr>
          <w:t>http://www.nmpa.gov.cn/WS04/CL2115/334462.html</w:t>
        </w:r>
      </w:hyperlink>
      <w:r>
        <w:rPr>
          <w:rFonts w:ascii="Times New Roman" w:eastAsia="Times New Roman"/>
          <w:color w:val="0000FF"/>
        </w:rPr>
        <w:tab/>
      </w:r>
      <w:r>
        <w:rPr/>
        <w:t>下载</w:t>
      </w:r>
    </w:p>
    <w:p>
      <w:pPr>
        <w:pStyle w:val="BodyText"/>
        <w:tabs>
          <w:tab w:pos="6458" w:val="left" w:leader="none"/>
        </w:tabs>
        <w:spacing w:before="71"/>
        <w:ind w:left="5017"/>
      </w:pPr>
      <w:r>
        <w:rPr/>
        <w:t>国家药监局</w:t>
        <w:tab/>
      </w:r>
      <w:r>
        <w:rPr>
          <w:rFonts w:ascii="Times New Roman" w:eastAsia="Times New Roman"/>
        </w:rPr>
        <w:t>2019 </w:t>
      </w:r>
      <w:r>
        <w:rPr/>
        <w:t>年</w:t>
      </w:r>
      <w:r>
        <w:rPr>
          <w:spacing w:val="-60"/>
        </w:rPr>
        <w:t> </w:t>
      </w:r>
      <w:r>
        <w:rPr>
          <w:rFonts w:ascii="Times New Roman" w:eastAsia="Times New Roman"/>
        </w:rPr>
        <w:t>1 </w:t>
      </w:r>
      <w:r>
        <w:rPr/>
        <w:t>月</w:t>
      </w:r>
      <w:r>
        <w:rPr>
          <w:spacing w:val="-60"/>
        </w:rPr>
        <w:t> </w:t>
      </w:r>
      <w:r>
        <w:rPr>
          <w:rFonts w:ascii="Times New Roman" w:eastAsia="Times New Roman"/>
        </w:rPr>
        <w:t>11 </w:t>
      </w:r>
      <w:r>
        <w:rPr/>
        <w:t>日</w:t>
      </w:r>
    </w:p>
    <w:p>
      <w:pPr>
        <w:pStyle w:val="BodyText"/>
        <w:spacing w:before="12"/>
        <w:ind w:left="0"/>
        <w:rPr>
          <w:sz w:val="23"/>
        </w:rPr>
      </w:pPr>
    </w:p>
    <w:p>
      <w:pPr>
        <w:pStyle w:val="Heading2"/>
        <w:ind w:left="306"/>
      </w:pPr>
      <w:bookmarkStart w:name="_TOC_250015" w:id="30"/>
      <w:bookmarkEnd w:id="30"/>
      <w:r>
        <w:rPr/>
        <w:t>关于修订静注人免疫球蛋白和冻干静注人免疫球蛋白说明书的公告</w:t>
      </w:r>
    </w:p>
    <w:p>
      <w:pPr>
        <w:pStyle w:val="Heading3"/>
        <w:spacing w:before="141"/>
        <w:ind w:left="5860"/>
      </w:pPr>
      <w:r>
        <w:rPr>
          <w:color w:val="FF0000"/>
        </w:rPr>
        <w:t>（来源：国家药品监督管理局网站）</w:t>
      </w:r>
    </w:p>
    <w:p>
      <w:pPr>
        <w:pStyle w:val="BodyText"/>
        <w:spacing w:line="297" w:lineRule="auto" w:before="168"/>
        <w:ind w:right="1130" w:firstLine="480"/>
        <w:jc w:val="both"/>
      </w:pPr>
      <w:r>
        <w:rPr>
          <w:spacing w:val="-2"/>
        </w:rPr>
        <w:t>为进一步保障公众用药安全，国家药品监督管理局决定对静注人免疫球蛋白</w:t>
      </w:r>
      <w:r>
        <w:rPr>
          <w:spacing w:val="-3"/>
        </w:rPr>
        <w:t>（</w:t>
      </w:r>
      <w:r>
        <w:rPr>
          <w:rFonts w:ascii="Times New Roman" w:eastAsia="Times New Roman"/>
          <w:spacing w:val="-3"/>
        </w:rPr>
        <w:t>pH4</w:t>
      </w:r>
      <w:r>
        <w:rPr>
          <w:spacing w:val="-3"/>
        </w:rPr>
        <w:t>）</w:t>
      </w:r>
      <w:r>
        <w:rPr>
          <w:spacing w:val="-12"/>
        </w:rPr>
        <w:t>和</w:t>
      </w:r>
      <w:r>
        <w:rPr>
          <w:spacing w:val="-3"/>
        </w:rPr>
        <w:t>冻干静注人免疫球蛋白</w:t>
      </w:r>
      <w:r>
        <w:rPr>
          <w:spacing w:val="-6"/>
        </w:rPr>
        <w:t>（</w:t>
      </w:r>
      <w:r>
        <w:rPr>
          <w:rFonts w:ascii="Times New Roman" w:eastAsia="Times New Roman"/>
          <w:spacing w:val="-6"/>
        </w:rPr>
        <w:t>pH4</w:t>
      </w:r>
      <w:r>
        <w:rPr>
          <w:spacing w:val="-6"/>
        </w:rPr>
        <w:t>）</w:t>
      </w:r>
      <w:r>
        <w:rPr>
          <w:spacing w:val="-15"/>
        </w:rPr>
        <w:t>说明书增加警示语，并对【不良反应】、【注意事项】、【老</w:t>
      </w:r>
      <w:r>
        <w:rPr/>
        <w:t>年用药】等项进行修订。现将有关事项公告如下：</w:t>
      </w:r>
    </w:p>
    <w:p>
      <w:pPr>
        <w:pStyle w:val="BodyText"/>
        <w:spacing w:line="297" w:lineRule="auto"/>
        <w:ind w:right="1129" w:firstLine="480"/>
        <w:jc w:val="both"/>
      </w:pPr>
      <w:r>
        <w:rPr/>
        <w:t>一、所有静注人免疫球蛋白（</w:t>
      </w:r>
      <w:r>
        <w:rPr>
          <w:rFonts w:ascii="Times New Roman" w:eastAsia="Times New Roman"/>
        </w:rPr>
        <w:t>pH4</w:t>
      </w:r>
      <w:r>
        <w:rPr/>
        <w:t>）和冻干静注人免疫球蛋白（</w:t>
      </w:r>
      <w:r>
        <w:rPr>
          <w:rFonts w:ascii="Times New Roman" w:eastAsia="Times New Roman"/>
        </w:rPr>
        <w:t>pH4</w:t>
      </w:r>
      <w:r>
        <w:rPr/>
        <w:t>）生产企业均应依</w:t>
      </w:r>
      <w:r>
        <w:rPr>
          <w:spacing w:val="-6"/>
        </w:rPr>
        <w:t>据《药品注册管理办法》等有关规定，按照静注人免疫球蛋白</w:t>
      </w:r>
      <w:r>
        <w:rPr/>
        <w:t>（</w:t>
      </w:r>
      <w:r>
        <w:rPr>
          <w:rFonts w:ascii="Times New Roman" w:eastAsia="Times New Roman"/>
        </w:rPr>
        <w:t>pH4</w:t>
      </w:r>
      <w:r>
        <w:rPr/>
        <w:t>）</w:t>
      </w:r>
      <w:r>
        <w:rPr>
          <w:spacing w:val="-2"/>
        </w:rPr>
        <w:t>和冻干静注人免疫球</w:t>
      </w:r>
      <w:r>
        <w:rPr/>
        <w:t>蛋白（</w:t>
      </w:r>
      <w:r>
        <w:rPr>
          <w:rFonts w:ascii="Times New Roman" w:eastAsia="Times New Roman"/>
        </w:rPr>
        <w:t>pH4</w:t>
      </w:r>
      <w:r>
        <w:rPr/>
        <w:t>）说明书修订要求（见附件），</w:t>
      </w:r>
      <w:r>
        <w:rPr>
          <w:spacing w:val="-4"/>
        </w:rPr>
        <w:t>提出修订说明书的补充申请，于 </w:t>
      </w:r>
      <w:r>
        <w:rPr>
          <w:rFonts w:ascii="Times New Roman" w:eastAsia="Times New Roman"/>
        </w:rPr>
        <w:t>2019 </w:t>
      </w:r>
      <w:r>
        <w:rPr>
          <w:spacing w:val="-30"/>
        </w:rPr>
        <w:t>年 </w:t>
      </w:r>
      <w:r>
        <w:rPr>
          <w:rFonts w:ascii="Times New Roman" w:eastAsia="Times New Roman"/>
        </w:rPr>
        <w:t>3 </w:t>
      </w:r>
      <w:r>
        <w:rPr>
          <w:spacing w:val="-30"/>
        </w:rPr>
        <w:t>月 </w:t>
      </w:r>
      <w:r>
        <w:rPr>
          <w:rFonts w:ascii="Times New Roman" w:eastAsia="Times New Roman"/>
        </w:rPr>
        <w:t>15 </w:t>
      </w:r>
      <w:r>
        <w:rPr/>
        <w:t>日前报所在地省级药品监管部门备案。</w:t>
      </w:r>
    </w:p>
    <w:p>
      <w:pPr>
        <w:pStyle w:val="BodyText"/>
        <w:spacing w:line="297" w:lineRule="auto"/>
        <w:ind w:right="1127" w:firstLine="480"/>
      </w:pPr>
      <w:r>
        <w:rPr>
          <w:spacing w:val="-9"/>
        </w:rPr>
        <w:t>修订内容涉及药品标签的，应当一并进行修订；说明书及标签其他内容应当与原批准内</w:t>
      </w:r>
      <w:r>
        <w:rPr>
          <w:spacing w:val="-5"/>
        </w:rPr>
        <w:t>容一致。在补充申请备案后 </w:t>
      </w:r>
      <w:r>
        <w:rPr>
          <w:rFonts w:ascii="Times New Roman" w:eastAsia="Times New Roman"/>
        </w:rPr>
        <w:t>6 </w:t>
      </w:r>
      <w:r>
        <w:rPr/>
        <w:t>个月内对所有已出厂的药品说明书及标签予以更换。</w:t>
      </w:r>
    </w:p>
    <w:p>
      <w:pPr>
        <w:pStyle w:val="BodyText"/>
        <w:spacing w:line="297" w:lineRule="auto"/>
        <w:ind w:right="1007" w:firstLine="480"/>
        <w:jc w:val="both"/>
      </w:pPr>
      <w:r>
        <w:rPr/>
        <w:t>各静注人免疫球蛋白（</w:t>
      </w:r>
      <w:r>
        <w:rPr>
          <w:rFonts w:ascii="Times New Roman" w:eastAsia="Times New Roman"/>
        </w:rPr>
        <w:t>pH4</w:t>
      </w:r>
      <w:r>
        <w:rPr/>
        <w:t>）和冻干静注人免疫球蛋白（</w:t>
      </w:r>
      <w:r>
        <w:rPr>
          <w:rFonts w:ascii="Times New Roman" w:eastAsia="Times New Roman"/>
        </w:rPr>
        <w:t>pH4</w:t>
      </w:r>
      <w:r>
        <w:rPr/>
        <w:t>）生产企业应当对新增不</w:t>
      </w:r>
      <w:r>
        <w:rPr>
          <w:spacing w:val="-6"/>
        </w:rPr>
        <w:t>良反应发生机制开展深入研究，采取有效措施做好药品使用和安全性问题的宣传培训，涉及</w:t>
      </w:r>
      <w:r>
        <w:rPr>
          <w:spacing w:val="-14"/>
        </w:rPr>
        <w:t>用药安全的内容变更要立即以适当方式通知药品经营和使用单位，指导医师、药师合理用药。</w:t>
      </w:r>
    </w:p>
    <w:p>
      <w:pPr>
        <w:pStyle w:val="BodyText"/>
        <w:spacing w:line="304" w:lineRule="exact"/>
        <w:ind w:left="697"/>
      </w:pPr>
      <w:r>
        <w:rPr>
          <w:spacing w:val="-6"/>
        </w:rPr>
        <w:t>二、临床医师、药师应当仔细阅读静注人免疫球蛋白</w:t>
      </w:r>
      <w:r>
        <w:rPr/>
        <w:t>（</w:t>
      </w:r>
      <w:r>
        <w:rPr>
          <w:rFonts w:ascii="Times New Roman" w:eastAsia="Times New Roman"/>
        </w:rPr>
        <w:t>pH4</w:t>
      </w:r>
      <w:r>
        <w:rPr/>
        <w:t>）和冻干静注人免疫球蛋白</w:t>
      </w:r>
    </w:p>
    <w:p>
      <w:pPr>
        <w:pStyle w:val="BodyText"/>
        <w:spacing w:line="297" w:lineRule="auto" w:before="61"/>
        <w:ind w:right="1128"/>
      </w:pPr>
      <w:r>
        <w:rPr>
          <w:spacing w:val="-7"/>
        </w:rPr>
        <w:t>（</w:t>
      </w:r>
      <w:r>
        <w:rPr>
          <w:rFonts w:ascii="Times New Roman" w:eastAsia="Times New Roman"/>
          <w:spacing w:val="-7"/>
        </w:rPr>
        <w:t>pH4</w:t>
      </w:r>
      <w:r>
        <w:rPr>
          <w:spacing w:val="-7"/>
        </w:rPr>
        <w:t>）</w:t>
      </w:r>
      <w:r>
        <w:rPr>
          <w:spacing w:val="-6"/>
        </w:rPr>
        <w:t>说明书的修订内容，在选择用药时，应当根据新修订说明书进行充分的效益</w:t>
      </w:r>
      <w:r>
        <w:rPr>
          <w:rFonts w:ascii="Times New Roman" w:eastAsia="Times New Roman"/>
        </w:rPr>
        <w:t>/</w:t>
      </w:r>
      <w:r>
        <w:rPr>
          <w:spacing w:val="-5"/>
        </w:rPr>
        <w:t>风险分</w:t>
      </w:r>
      <w:r>
        <w:rPr/>
        <w:t>析。</w:t>
      </w:r>
    </w:p>
    <w:p>
      <w:pPr>
        <w:pStyle w:val="BodyText"/>
        <w:spacing w:line="306" w:lineRule="exact"/>
        <w:ind w:left="697"/>
      </w:pPr>
      <w:r>
        <w:rPr/>
        <w:t>三、患者应严格遵医嘱用药。</w:t>
      </w:r>
    </w:p>
    <w:p>
      <w:pPr>
        <w:pStyle w:val="BodyText"/>
        <w:spacing w:line="297" w:lineRule="auto" w:before="71"/>
        <w:ind w:right="1130" w:firstLine="480"/>
      </w:pPr>
      <w:r>
        <w:rPr>
          <w:spacing w:val="-12"/>
        </w:rPr>
        <w:t>四、请省级药品监管部门在日常监管中督促企业做好有关产品说明书修订和标签说明书</w:t>
      </w:r>
      <w:r>
        <w:rPr/>
        <w:t>更换工作。</w:t>
      </w:r>
    </w:p>
    <w:p>
      <w:pPr>
        <w:pStyle w:val="BodyText"/>
        <w:spacing w:line="306" w:lineRule="exact"/>
        <w:ind w:left="697"/>
      </w:pPr>
      <w:r>
        <w:rPr/>
        <w:t>特此公告。</w:t>
      </w:r>
    </w:p>
    <w:p>
      <w:pPr>
        <w:pStyle w:val="BodyText"/>
        <w:tabs>
          <w:tab w:pos="7576" w:val="left" w:leader="none"/>
        </w:tabs>
        <w:spacing w:line="297" w:lineRule="auto" w:before="72"/>
        <w:ind w:left="697" w:right="1400"/>
      </w:pPr>
      <w:r>
        <w:rPr/>
        <w:t>附件：静注人免疫球蛋白（</w:t>
      </w:r>
      <w:r>
        <w:rPr>
          <w:rFonts w:ascii="Times New Roman" w:eastAsia="Times New Roman"/>
        </w:rPr>
        <w:t>pH4</w:t>
      </w:r>
      <w:r>
        <w:rPr/>
        <w:t>）和冻干静注人免疫球蛋白（</w:t>
      </w:r>
      <w:r>
        <w:rPr>
          <w:rFonts w:ascii="Times New Roman" w:eastAsia="Times New Roman"/>
        </w:rPr>
        <w:t>pH4</w:t>
      </w:r>
      <w:r>
        <w:rPr/>
        <w:t>）说明书修订要</w:t>
      </w:r>
      <w:r>
        <w:rPr>
          <w:spacing w:val="-16"/>
        </w:rPr>
        <w:t>求</w:t>
      </w:r>
      <w:r>
        <w:rPr/>
        <w:t>附件请链接：</w:t>
      </w:r>
      <w:hyperlink r:id="rId15">
        <w:r>
          <w:rPr>
            <w:rFonts w:ascii="Times New Roman" w:eastAsia="Times New Roman"/>
            <w:color w:val="0000FF"/>
            <w:u w:val="single" w:color="0000FF"/>
          </w:rPr>
          <w:t>http://www.nmpa.gov.cn/WS04/CL2115/334461.html</w:t>
        </w:r>
      </w:hyperlink>
      <w:r>
        <w:rPr>
          <w:rFonts w:ascii="Times New Roman" w:eastAsia="Times New Roman"/>
          <w:color w:val="0000FF"/>
        </w:rPr>
        <w:tab/>
      </w:r>
      <w:r>
        <w:rPr/>
        <w:t>下载</w:t>
      </w:r>
    </w:p>
    <w:p>
      <w:pPr>
        <w:pStyle w:val="BodyText"/>
        <w:tabs>
          <w:tab w:pos="2257" w:val="left" w:leader="none"/>
        </w:tabs>
        <w:spacing w:line="306" w:lineRule="exact"/>
        <w:ind w:left="697"/>
      </w:pPr>
      <w:r>
        <w:rPr/>
        <w:t>国家药监局</w:t>
        <w:tab/>
      </w:r>
      <w:r>
        <w:rPr>
          <w:rFonts w:ascii="Times New Roman" w:eastAsia="Times New Roman"/>
        </w:rPr>
        <w:t>2019 </w:t>
      </w:r>
      <w:r>
        <w:rPr/>
        <w:t>年</w:t>
      </w:r>
      <w:r>
        <w:rPr>
          <w:spacing w:val="-60"/>
        </w:rPr>
        <w:t> </w:t>
      </w:r>
      <w:r>
        <w:rPr>
          <w:rFonts w:ascii="Times New Roman" w:eastAsia="Times New Roman"/>
        </w:rPr>
        <w:t>1 </w:t>
      </w:r>
      <w:r>
        <w:rPr/>
        <w:t>月</w:t>
      </w:r>
      <w:r>
        <w:rPr>
          <w:spacing w:val="-60"/>
        </w:rPr>
        <w:t> </w:t>
      </w:r>
      <w:r>
        <w:rPr>
          <w:rFonts w:ascii="Times New Roman" w:eastAsia="Times New Roman"/>
        </w:rPr>
        <w:t>11 </w:t>
      </w:r>
      <w:r>
        <w:rPr/>
        <w:t>日</w:t>
      </w:r>
    </w:p>
    <w:p>
      <w:pPr>
        <w:spacing w:after="0" w:line="306" w:lineRule="exact"/>
        <w:sectPr>
          <w:pgSz w:w="11910" w:h="16850"/>
          <w:pgMar w:header="906" w:footer="607" w:top="1100" w:bottom="800" w:left="1060" w:right="0"/>
        </w:sectPr>
      </w:pPr>
    </w:p>
    <w:p>
      <w:pPr>
        <w:pStyle w:val="Heading2"/>
        <w:spacing w:before="13"/>
      </w:pPr>
      <w:bookmarkStart w:name="_TOC_250014" w:id="31"/>
      <w:bookmarkEnd w:id="31"/>
      <w:r>
        <w:rPr/>
        <w:t>【药物经济学】</w:t>
      </w:r>
    </w:p>
    <w:p>
      <w:pPr>
        <w:pStyle w:val="BodyText"/>
        <w:spacing w:before="9"/>
        <w:ind w:left="0"/>
        <w:rPr>
          <w:b/>
          <w:sz w:val="22"/>
        </w:rPr>
      </w:pPr>
    </w:p>
    <w:p>
      <w:pPr>
        <w:pStyle w:val="Heading2"/>
        <w:spacing w:before="1"/>
        <w:ind w:left="2233"/>
      </w:pPr>
      <w:bookmarkStart w:name="_TOC_250013" w:id="32"/>
      <w:bookmarkEnd w:id="32"/>
      <w:r>
        <w:rPr/>
        <w:t>经济学视角下我国药品短缺的原因分析</w:t>
      </w:r>
    </w:p>
    <w:p>
      <w:pPr>
        <w:spacing w:line="264" w:lineRule="auto" w:before="147"/>
        <w:ind w:left="217" w:right="1128" w:firstLine="4253"/>
        <w:jc w:val="left"/>
        <w:rPr>
          <w:b/>
          <w:sz w:val="24"/>
        </w:rPr>
      </w:pPr>
      <w:r>
        <w:rPr>
          <w:rFonts w:ascii="楷体" w:eastAsia="楷体" w:hint="eastAsia"/>
          <w:b/>
          <w:color w:val="FF0000"/>
          <w:sz w:val="24"/>
        </w:rPr>
        <w:t>（来源：《中国医院药学杂志》2018</w:t>
      </w:r>
      <w:r>
        <w:rPr>
          <w:rFonts w:ascii="楷体" w:eastAsia="楷体" w:hint="eastAsia"/>
          <w:b/>
          <w:color w:val="FF0000"/>
          <w:spacing w:val="-31"/>
          <w:sz w:val="24"/>
        </w:rPr>
        <w:t> 年第 </w:t>
      </w:r>
      <w:r>
        <w:rPr>
          <w:rFonts w:ascii="楷体" w:eastAsia="楷体" w:hint="eastAsia"/>
          <w:b/>
          <w:color w:val="FF0000"/>
          <w:sz w:val="24"/>
        </w:rPr>
        <w:t>20</w:t>
      </w:r>
      <w:r>
        <w:rPr>
          <w:rFonts w:ascii="楷体" w:eastAsia="楷体" w:hint="eastAsia"/>
          <w:b/>
          <w:color w:val="FF0000"/>
          <w:spacing w:val="-31"/>
          <w:sz w:val="24"/>
        </w:rPr>
        <w:t> 期</w:t>
      </w:r>
      <w:r>
        <w:rPr>
          <w:rFonts w:ascii="楷体" w:eastAsia="楷体" w:hint="eastAsia"/>
          <w:b/>
          <w:color w:val="FF0000"/>
          <w:spacing w:val="-14"/>
          <w:sz w:val="24"/>
        </w:rPr>
        <w:t>） </w:t>
      </w:r>
      <w:r>
        <w:rPr>
          <w:rFonts w:ascii="楷体" w:eastAsia="楷体" w:hint="eastAsia"/>
          <w:sz w:val="24"/>
        </w:rPr>
        <w:t>茅宁莹，周梅梅，李军</w:t>
      </w:r>
      <w:r>
        <w:rPr>
          <w:b/>
          <w:spacing w:val="3"/>
          <w:sz w:val="24"/>
        </w:rPr>
        <w:t>（</w:t>
      </w:r>
      <w:r>
        <w:rPr>
          <w:spacing w:val="-1"/>
          <w:sz w:val="24"/>
        </w:rPr>
        <w:t>中国药科大学国际医药商学院，江苏 南京 </w:t>
      </w:r>
      <w:r>
        <w:rPr>
          <w:rFonts w:ascii="Times New Roman" w:eastAsia="Times New Roman"/>
          <w:sz w:val="24"/>
        </w:rPr>
        <w:t>211198</w:t>
      </w:r>
      <w:r>
        <w:rPr>
          <w:b/>
          <w:sz w:val="24"/>
        </w:rPr>
        <w:t>）</w:t>
      </w:r>
    </w:p>
    <w:p>
      <w:pPr>
        <w:spacing w:line="312" w:lineRule="auto" w:before="34"/>
        <w:ind w:left="217" w:right="1124" w:firstLine="0"/>
        <w:jc w:val="both"/>
        <w:rPr>
          <w:rFonts w:ascii="楷体" w:eastAsia="楷体" w:hint="eastAsia"/>
          <w:sz w:val="18"/>
        </w:rPr>
      </w:pPr>
      <w:r>
        <w:rPr>
          <w:rFonts w:ascii="黑体" w:eastAsia="黑体" w:hint="eastAsia"/>
          <w:sz w:val="18"/>
        </w:rPr>
        <w:t>［摘要</w:t>
      </w:r>
      <w:r>
        <w:rPr>
          <w:rFonts w:ascii="黑体" w:eastAsia="黑体" w:hint="eastAsia"/>
          <w:spacing w:val="-8"/>
          <w:sz w:val="18"/>
        </w:rPr>
        <w:t>］</w:t>
      </w:r>
      <w:r>
        <w:rPr>
          <w:rFonts w:ascii="黑体" w:eastAsia="黑体" w:hint="eastAsia"/>
          <w:spacing w:val="-3"/>
          <w:sz w:val="18"/>
        </w:rPr>
        <w:t>目的：</w:t>
      </w:r>
      <w:r>
        <w:rPr>
          <w:rFonts w:ascii="楷体" w:eastAsia="楷体" w:hint="eastAsia"/>
          <w:spacing w:val="-2"/>
          <w:sz w:val="18"/>
        </w:rPr>
        <w:t>分析我国药品短缺的原因，并提出应对措施。</w:t>
      </w:r>
      <w:r>
        <w:rPr>
          <w:rFonts w:ascii="黑体" w:eastAsia="黑体" w:hint="eastAsia"/>
          <w:spacing w:val="-3"/>
          <w:sz w:val="18"/>
        </w:rPr>
        <w:t>方法：</w:t>
      </w:r>
      <w:r>
        <w:rPr>
          <w:rFonts w:ascii="楷体" w:eastAsia="楷体" w:hint="eastAsia"/>
          <w:spacing w:val="-1"/>
          <w:sz w:val="18"/>
        </w:rPr>
        <w:t>依托经济学供需均衡理论和药品供应链理论，并结合</w:t>
      </w:r>
      <w:r>
        <w:rPr>
          <w:rFonts w:ascii="楷体" w:eastAsia="楷体" w:hint="eastAsia"/>
          <w:spacing w:val="-3"/>
          <w:sz w:val="18"/>
        </w:rPr>
        <w:t>相关课题访谈调研结果，探究药品短缺的深层次原因。</w:t>
      </w:r>
      <w:r>
        <w:rPr>
          <w:rFonts w:ascii="黑体" w:eastAsia="黑体" w:hint="eastAsia"/>
          <w:spacing w:val="-4"/>
          <w:sz w:val="18"/>
        </w:rPr>
        <w:t>结果：</w:t>
      </w:r>
      <w:r>
        <w:rPr>
          <w:rFonts w:ascii="楷体" w:eastAsia="楷体" w:hint="eastAsia"/>
          <w:spacing w:val="-2"/>
          <w:sz w:val="18"/>
        </w:rPr>
        <w:t>从经济学中利润的视角出发，并结合药品供应链系统中各环</w:t>
      </w:r>
      <w:r>
        <w:rPr>
          <w:rFonts w:ascii="楷体" w:eastAsia="楷体" w:hint="eastAsia"/>
          <w:spacing w:val="-4"/>
          <w:sz w:val="18"/>
        </w:rPr>
        <w:t>节和参与主体特点，将药品短缺原因分为成本性短缺、价格性短缺和数量性短缺三方面。</w:t>
      </w:r>
      <w:r>
        <w:rPr>
          <w:rFonts w:ascii="黑体" w:eastAsia="黑体" w:hint="eastAsia"/>
          <w:spacing w:val="-4"/>
          <w:sz w:val="18"/>
        </w:rPr>
        <w:t>结论：</w:t>
      </w:r>
      <w:r>
        <w:rPr>
          <w:rFonts w:ascii="楷体" w:eastAsia="楷体" w:hint="eastAsia"/>
          <w:spacing w:val="-2"/>
          <w:sz w:val="18"/>
        </w:rPr>
        <w:t>针对药品短缺原因提出保</w:t>
      </w:r>
      <w:r>
        <w:rPr>
          <w:rFonts w:ascii="楷体" w:eastAsia="楷体" w:hint="eastAsia"/>
          <w:sz w:val="18"/>
        </w:rPr>
        <w:t>障药品合理价格，优化市场与政策环境，研发、生产与储备相结合满足临床用药需求等应对药品短缺问题的相关建议。</w:t>
      </w:r>
    </w:p>
    <w:p>
      <w:pPr>
        <w:spacing w:before="1"/>
        <w:ind w:left="217" w:right="0" w:firstLine="0"/>
        <w:jc w:val="left"/>
        <w:rPr>
          <w:rFonts w:ascii="楷体" w:eastAsia="楷体" w:hint="eastAsia"/>
          <w:sz w:val="18"/>
        </w:rPr>
      </w:pPr>
      <w:r>
        <w:rPr>
          <w:rFonts w:ascii="黑体" w:eastAsia="黑体" w:hint="eastAsia"/>
          <w:sz w:val="18"/>
        </w:rPr>
        <w:t>［关键词］</w:t>
      </w:r>
      <w:r>
        <w:rPr>
          <w:rFonts w:ascii="楷体" w:eastAsia="楷体" w:hint="eastAsia"/>
          <w:sz w:val="18"/>
        </w:rPr>
        <w:t>经济学视角；药品短缺；原因</w:t>
      </w:r>
    </w:p>
    <w:p>
      <w:pPr>
        <w:pStyle w:val="BodyText"/>
        <w:spacing w:line="312" w:lineRule="auto" w:before="89"/>
        <w:ind w:right="1126" w:firstLine="480"/>
      </w:pPr>
      <w:r>
        <w:rPr>
          <w:spacing w:val="-5"/>
        </w:rPr>
        <w:t>及时有效地满足临床用药需求是我国医药卫生事业发展的根本任务。近年来，随着媒体</w:t>
      </w:r>
      <w:r>
        <w:rPr>
          <w:spacing w:val="-3"/>
        </w:rPr>
        <w:t>对医药行业关注度的提升，药品短缺问题逐渐走入公众视野，如 </w:t>
      </w:r>
      <w:r>
        <w:rPr>
          <w:rFonts w:ascii="Times New Roman" w:eastAsia="Times New Roman"/>
        </w:rPr>
        <w:t>2011 </w:t>
      </w:r>
      <w:r>
        <w:rPr/>
        <w:t>年鱼精蛋白（心脏外</w:t>
      </w:r>
      <w:r>
        <w:rPr>
          <w:spacing w:val="-4"/>
        </w:rPr>
        <w:t>科体外循环手术必用药，目前没有可替代药物</w:t>
      </w:r>
      <w:r>
        <w:rPr>
          <w:spacing w:val="-34"/>
        </w:rPr>
        <w:t>）</w:t>
      </w:r>
      <w:r>
        <w:rPr>
          <w:spacing w:val="-6"/>
        </w:rPr>
        <w:t>出现全国性短缺，给患者生命健康带来巨大</w:t>
      </w:r>
      <w:r>
        <w:rPr/>
        <w:t>影响；</w:t>
      </w:r>
      <w:r>
        <w:rPr>
          <w:rFonts w:ascii="Times New Roman" w:eastAsia="Times New Roman"/>
        </w:rPr>
        <w:t>2016 </w:t>
      </w:r>
      <w:r>
        <w:rPr/>
        <w:t>年，鱼精蛋白再次出现全国性短缺；</w:t>
      </w:r>
      <w:r>
        <w:rPr>
          <w:rFonts w:ascii="Times New Roman" w:eastAsia="Times New Roman"/>
        </w:rPr>
        <w:t>2017 </w:t>
      </w:r>
      <w:r>
        <w:rPr/>
        <w:t>年，治疗儿童白血病的廉价国产药巯</w:t>
      </w:r>
      <w:r>
        <w:rPr>
          <w:spacing w:val="-10"/>
        </w:rPr>
        <w:t>嘌呤片在全国大范围短缺。中国药学会基于全国各省短缺药品监测平台上报的药品短缺数据</w:t>
      </w:r>
      <w:r>
        <w:rPr/>
        <w:t>分析得出，</w:t>
      </w:r>
      <w:r>
        <w:rPr>
          <w:rFonts w:ascii="Times New Roman" w:eastAsia="Times New Roman"/>
        </w:rPr>
        <w:t>2016 </w:t>
      </w:r>
      <w:r>
        <w:rPr>
          <w:spacing w:val="-30"/>
        </w:rPr>
        <w:t>年 </w:t>
      </w:r>
      <w:r>
        <w:rPr>
          <w:rFonts w:ascii="Times New Roman" w:eastAsia="Times New Roman"/>
        </w:rPr>
        <w:t>7 </w:t>
      </w:r>
      <w:r>
        <w:rPr>
          <w:spacing w:val="-3"/>
        </w:rPr>
        <w:t>月长春新碱、鱼精蛋白、博来霉素等药品在全国 </w:t>
      </w:r>
      <w:r>
        <w:rPr>
          <w:rFonts w:ascii="Times New Roman" w:eastAsia="Times New Roman"/>
        </w:rPr>
        <w:t>6 </w:t>
      </w:r>
      <w:r>
        <w:rPr/>
        <w:t>个以上省份出现短</w:t>
      </w:r>
      <w:r>
        <w:rPr>
          <w:spacing w:val="-11"/>
        </w:rPr>
        <w:t>缺。我国药品供应保障现状不容乐观。值得注意的是，近年来引发公众关注的药品短缺问题</w:t>
      </w:r>
      <w:r>
        <w:rPr>
          <w:spacing w:val="-9"/>
        </w:rPr>
        <w:t>不只是由单个因素引起，而是生产、流通和使用等多方面因素相互交织共同决定了药品短缺</w:t>
      </w:r>
      <w:r>
        <w:rPr/>
        <w:t>问题的复杂性。</w:t>
      </w:r>
      <w:r>
        <w:rPr>
          <w:rFonts w:ascii="Times New Roman" w:eastAsia="Times New Roman"/>
        </w:rPr>
        <w:t>2017 </w:t>
      </w:r>
      <w:r>
        <w:rPr>
          <w:spacing w:val="-30"/>
        </w:rPr>
        <w:t>年 </w:t>
      </w:r>
      <w:r>
        <w:rPr>
          <w:rFonts w:ascii="Times New Roman" w:eastAsia="Times New Roman"/>
        </w:rPr>
        <w:t>6 </w:t>
      </w:r>
      <w:r>
        <w:rPr/>
        <w:t>月《关于改革完善短缺药品供应保障机制的实施意见》的发布， </w:t>
      </w:r>
      <w:r>
        <w:rPr>
          <w:spacing w:val="-7"/>
        </w:rPr>
        <w:t>表明了国家对保障药品供应的重视与决心，而从根源上有效解决该问题则需要探究引起药品</w:t>
      </w:r>
      <w:r>
        <w:rPr>
          <w:spacing w:val="-8"/>
        </w:rPr>
        <w:t>短缺的本质原因。基于此，本文从药品市场供需规律出发，依托药品供应链理论，结合相关</w:t>
      </w:r>
      <w:r>
        <w:rPr>
          <w:spacing w:val="-14"/>
        </w:rPr>
        <w:t>课题的实证调研结果，综合剖析我国药品短缺的原因，并提出解决药品短缺问题的相关建议</w:t>
      </w:r>
      <w:r>
        <w:rPr/>
        <w:t>与对策。</w:t>
      </w:r>
    </w:p>
    <w:p>
      <w:pPr>
        <w:pStyle w:val="Heading3"/>
        <w:numPr>
          <w:ilvl w:val="0"/>
          <w:numId w:val="6"/>
        </w:numPr>
        <w:tabs>
          <w:tab w:pos="881" w:val="left" w:leader="none"/>
        </w:tabs>
        <w:spacing w:line="240" w:lineRule="auto" w:before="5" w:after="0"/>
        <w:ind w:left="880" w:right="0" w:hanging="181"/>
        <w:jc w:val="left"/>
        <w:rPr>
          <w:rFonts w:ascii="Times New Roman" w:eastAsia="Times New Roman"/>
          <w:sz w:val="22"/>
        </w:rPr>
      </w:pPr>
      <w:r>
        <w:rPr>
          <w:rFonts w:ascii="宋体" w:eastAsia="宋体" w:hint="eastAsia"/>
        </w:rPr>
        <w:t>药品短缺的定义</w:t>
      </w:r>
    </w:p>
    <w:p>
      <w:pPr>
        <w:pStyle w:val="BodyText"/>
        <w:spacing w:line="312" w:lineRule="auto" w:before="93"/>
        <w:ind w:right="1127" w:firstLine="480"/>
        <w:jc w:val="both"/>
      </w:pPr>
      <w:r>
        <w:rPr>
          <w:spacing w:val="-9"/>
        </w:rPr>
        <w:t>根据市场供需理论，药品短缺实质是指药品的市场供给不能满足市场需求。澳大利亚卫</w:t>
      </w:r>
      <w:r>
        <w:rPr>
          <w:spacing w:val="-7"/>
        </w:rPr>
        <w:t>生部认为药品短缺是指在澳大利亚境内，一段时间内一种药品的供应不能满足正常或预期的</w:t>
      </w:r>
      <w:r>
        <w:rPr>
          <w:spacing w:val="-3"/>
        </w:rPr>
        <w:t>消费者对药品的需求。美国 </w:t>
      </w:r>
      <w:r>
        <w:rPr>
          <w:rFonts w:ascii="Times New Roman" w:hAnsi="Times New Roman" w:eastAsia="Times New Roman"/>
        </w:rPr>
        <w:t>CDER</w:t>
      </w:r>
      <w:r>
        <w:rPr/>
        <w:t>（</w:t>
      </w:r>
      <w:r>
        <w:rPr>
          <w:rFonts w:ascii="Times New Roman" w:hAnsi="Times New Roman" w:eastAsia="Times New Roman"/>
        </w:rPr>
        <w:t>center for drug evaluation and </w:t>
      </w:r>
      <w:r>
        <w:rPr>
          <w:rFonts w:ascii="Times New Roman" w:hAnsi="Times New Roman" w:eastAsia="Times New Roman"/>
          <w:spacing w:val="-3"/>
        </w:rPr>
        <w:t>research</w:t>
      </w:r>
      <w:r>
        <w:rPr>
          <w:spacing w:val="-2"/>
        </w:rPr>
        <w:t>；药品审评与研究中心）</w:t>
      </w:r>
      <w:r>
        <w:rPr>
          <w:spacing w:val="-9"/>
        </w:rPr>
        <w:t>将药品短缺定义为 </w:t>
      </w:r>
      <w:r>
        <w:rPr>
          <w:rFonts w:ascii="Times New Roman" w:hAnsi="Times New Roman" w:eastAsia="Times New Roman"/>
        </w:rPr>
        <w:t>FDA </w:t>
      </w:r>
      <w:r>
        <w:rPr/>
        <w:t>管理的药品的所有可替代形式的全部供应不能满足现存的或</w:t>
      </w:r>
      <w:r>
        <w:rPr>
          <w:spacing w:val="-6"/>
        </w:rPr>
        <w:t>潜在的需求水平。我国学者刘秀坤等</w:t>
      </w:r>
      <w:r>
        <w:rPr>
          <w:spacing w:val="-4"/>
        </w:rPr>
        <w:t>（</w:t>
      </w:r>
      <w:r>
        <w:rPr>
          <w:rFonts w:ascii="Times New Roman" w:hAnsi="Times New Roman" w:eastAsia="Times New Roman"/>
          <w:spacing w:val="-4"/>
        </w:rPr>
        <w:t>2013</w:t>
      </w:r>
      <w:r>
        <w:rPr>
          <w:spacing w:val="-4"/>
        </w:rPr>
        <w:t>）</w:t>
      </w:r>
      <w:r>
        <w:rPr>
          <w:spacing w:val="-3"/>
        </w:rPr>
        <w:t>从经济学角度将药品短缺定义为“全部生产厂家所生产的药品</w:t>
      </w:r>
      <w:r>
        <w:rPr/>
        <w:t>（即市场供给</w:t>
      </w:r>
      <w:r>
        <w:rPr>
          <w:spacing w:val="-17"/>
        </w:rPr>
        <w:t>）</w:t>
      </w:r>
      <w:r>
        <w:rPr>
          <w:spacing w:val="-2"/>
        </w:rPr>
        <w:t>不能满足医疗卫生消费者的需要</w:t>
      </w:r>
      <w:r>
        <w:rPr/>
        <w:t>（即市场需求</w:t>
      </w:r>
      <w:r>
        <w:rPr>
          <w:spacing w:val="-17"/>
        </w:rPr>
        <w:t>）”</w:t>
      </w:r>
      <w:r>
        <w:rPr>
          <w:spacing w:val="-9"/>
        </w:rPr>
        <w:t>。国家发</w:t>
      </w:r>
      <w:r>
        <w:rPr>
          <w:spacing w:val="-7"/>
        </w:rPr>
        <w:t>展和改革委员会于 </w:t>
      </w:r>
      <w:r>
        <w:rPr>
          <w:rFonts w:ascii="Times New Roman" w:hAnsi="Times New Roman" w:eastAsia="Times New Roman"/>
        </w:rPr>
        <w:t>2017 </w:t>
      </w:r>
      <w:r>
        <w:rPr/>
        <w:t>年发布的《短缺药品和原料药经营者价格行为指南》中提到，短缺</w:t>
      </w:r>
      <w:r>
        <w:rPr>
          <w:spacing w:val="-7"/>
        </w:rPr>
        <w:t>药品是指在一定区域内不能正常供应的药品。上述定义都强调药品短缺是用药需求与药品生</w:t>
      </w:r>
      <w:r>
        <w:rPr>
          <w:spacing w:val="-11"/>
        </w:rPr>
        <w:t>产供应之间的矛盾。据此，本文将药品短缺定义为在一段时间内药品供应无法满足实际或潜</w:t>
      </w:r>
      <w:r>
        <w:rPr>
          <w:spacing w:val="-9"/>
        </w:rPr>
        <w:t>在的市场需求，且没有替代药品或替代药品无法及时获得。因此，保障药品供需均衡是解决</w:t>
      </w:r>
      <w:r>
        <w:rPr/>
        <w:t>药品短缺问题的关键所在。</w:t>
      </w:r>
    </w:p>
    <w:p>
      <w:pPr>
        <w:pStyle w:val="Heading3"/>
        <w:numPr>
          <w:ilvl w:val="0"/>
          <w:numId w:val="6"/>
        </w:numPr>
        <w:tabs>
          <w:tab w:pos="881" w:val="left" w:leader="none"/>
        </w:tabs>
        <w:spacing w:line="240" w:lineRule="auto" w:before="3" w:after="0"/>
        <w:ind w:left="880" w:right="0" w:hanging="181"/>
        <w:jc w:val="left"/>
        <w:rPr>
          <w:rFonts w:ascii="Times New Roman" w:eastAsia="Times New Roman"/>
          <w:sz w:val="22"/>
        </w:rPr>
      </w:pPr>
      <w:r>
        <w:rPr>
          <w:rFonts w:ascii="宋体" w:eastAsia="宋体" w:hint="eastAsia"/>
        </w:rPr>
        <w:t>药品短缺原因分析的理论依据</w:t>
      </w:r>
    </w:p>
    <w:p>
      <w:pPr>
        <w:pStyle w:val="BodyText"/>
        <w:spacing w:line="312" w:lineRule="auto" w:before="93"/>
        <w:ind w:right="1127" w:firstLine="480"/>
      </w:pPr>
      <w:r>
        <w:rPr>
          <w:spacing w:val="-11"/>
        </w:rPr>
        <w:t>目前，我国药品销售终端主要包括医疗机构和零售药店两类，其中公立医疗机构的药品</w:t>
      </w:r>
      <w:r>
        <w:rPr/>
        <w:t>消费占据主导地位，因此，本文将主要探讨公立医疗机构药品短缺的原因及机理。</w:t>
      </w:r>
    </w:p>
    <w:p>
      <w:pPr>
        <w:spacing w:after="0" w:line="312" w:lineRule="auto"/>
        <w:sectPr>
          <w:pgSz w:w="11910" w:h="16850"/>
          <w:pgMar w:header="906" w:footer="607" w:top="1100" w:bottom="800" w:left="1060" w:right="0"/>
        </w:sectPr>
      </w:pPr>
    </w:p>
    <w:p>
      <w:pPr>
        <w:pStyle w:val="BodyText"/>
        <w:spacing w:line="312" w:lineRule="auto" w:before="79"/>
        <w:ind w:right="1014" w:firstLine="480"/>
      </w:pPr>
      <w:r>
        <w:rPr>
          <w:spacing w:val="-7"/>
        </w:rPr>
        <w:t>药品供应链涉及环节多、参与主体复杂，供应环节包括药品研发、生产、批发、药品招</w:t>
      </w:r>
      <w:r>
        <w:rPr>
          <w:spacing w:val="-8"/>
        </w:rPr>
        <w:t>标采购、配送和药品使用等；参与主体则包括药品研发企业、原料药企业、药品生产企业、</w:t>
      </w:r>
      <w:r>
        <w:rPr>
          <w:spacing w:val="-9"/>
        </w:rPr>
        <w:t>药品经营企业、药品配送企业、医疗机构、患者以及政府相关部门等。药品供应链中的任何一个环节或者主体出现问题，都有可能引发药品短缺。</w:t>
      </w:r>
    </w:p>
    <w:p>
      <w:pPr>
        <w:pStyle w:val="BodyText"/>
        <w:spacing w:line="312" w:lineRule="auto"/>
        <w:ind w:right="1127" w:firstLine="480"/>
        <w:jc w:val="both"/>
      </w:pPr>
      <w:r>
        <w:rPr>
          <w:spacing w:val="-9"/>
        </w:rPr>
        <w:t>药品作为特殊的商品，在具有社会公共性和公共福利性等社会属性的同时，还具有一般</w:t>
      </w:r>
      <w:r>
        <w:rPr>
          <w:spacing w:val="-10"/>
        </w:rPr>
        <w:t>商品的属性，在一定程度上也需要遵循商品经济规律。因此医药企业在满足药品社会属性的</w:t>
      </w:r>
      <w:r>
        <w:rPr>
          <w:spacing w:val="-7"/>
        </w:rPr>
        <w:t>同时，追求自身发展，在经济学上则表现为追逐利润，而利润</w:t>
      </w:r>
      <w:r>
        <w:rPr>
          <w:rFonts w:ascii="Times New Roman" w:hAnsi="Times New Roman" w:eastAsia="Times New Roman"/>
        </w:rPr>
        <w:t>=</w:t>
      </w:r>
      <w:r>
        <w:rPr/>
        <w:t>总收益</w:t>
      </w:r>
      <w:r>
        <w:rPr>
          <w:rFonts w:ascii="Times New Roman" w:hAnsi="Times New Roman" w:eastAsia="Times New Roman"/>
        </w:rPr>
        <w:t>-</w:t>
      </w:r>
      <w:r>
        <w:rPr/>
        <w:t>总成本</w:t>
      </w:r>
      <w:r>
        <w:rPr>
          <w:rFonts w:ascii="Times New Roman" w:hAnsi="Times New Roman" w:eastAsia="Times New Roman"/>
        </w:rPr>
        <w:t>=</w:t>
      </w:r>
      <w:r>
        <w:rPr/>
        <w:t>数量×价格</w:t>
      </w:r>
      <w:r>
        <w:rPr>
          <w:rFonts w:ascii="Times New Roman" w:hAnsi="Times New Roman" w:eastAsia="Times New Roman"/>
          <w:spacing w:val="-12"/>
        </w:rPr>
        <w:t>- </w:t>
      </w:r>
      <w:r>
        <w:rPr>
          <w:spacing w:val="-8"/>
        </w:rPr>
        <w:t>总成本</w:t>
      </w:r>
      <w:r>
        <w:rPr/>
        <w:t>（</w:t>
      </w:r>
      <w:r>
        <w:rPr>
          <w:rFonts w:ascii="Arial" w:hAnsi="Arial" w:eastAsia="Arial"/>
        </w:rPr>
        <w:t>π </w:t>
      </w:r>
      <w:r>
        <w:rPr>
          <w:rFonts w:ascii="Times New Roman" w:hAnsi="Times New Roman" w:eastAsia="Times New Roman"/>
        </w:rPr>
        <w:t>(Q)=TR(Q)-TC(Q)=P*Q-TC(Q)</w:t>
      </w:r>
      <w:r>
        <w:rPr/>
        <w:t>）</w:t>
      </w:r>
      <w:r>
        <w:rPr>
          <w:spacing w:val="-3"/>
        </w:rPr>
        <w:t>，可知药品的交易数量、价格和成本三方面共同影响企业利润。</w:t>
      </w:r>
    </w:p>
    <w:p>
      <w:pPr>
        <w:pStyle w:val="BodyText"/>
        <w:spacing w:line="312" w:lineRule="auto" w:before="3"/>
        <w:ind w:right="1127" w:firstLine="480"/>
        <w:jc w:val="both"/>
      </w:pPr>
      <w:r>
        <w:rPr>
          <w:spacing w:val="-10"/>
        </w:rPr>
        <w:t>基于此，本文将药品短缺概括为成本性短缺、价格性短缺和数量性短缺三种类型，根据</w:t>
      </w:r>
      <w:r>
        <w:rPr>
          <w:spacing w:val="-8"/>
        </w:rPr>
        <w:t>药品供应各环节在数量、价格和成本三方面的侧重程度，将成本性短缺界定为由药品供应成</w:t>
      </w:r>
      <w:r>
        <w:rPr>
          <w:spacing w:val="-9"/>
        </w:rPr>
        <w:t>本上升引发的短缺，多发生在药品生产和药品流通环节；而价格性短缺则侧重于由价格形成</w:t>
      </w:r>
      <w:r>
        <w:rPr>
          <w:spacing w:val="-11"/>
        </w:rPr>
        <w:t>机制不完善引起，多发生在药品招标采购环节；数量性短缺一方面指没有遵循带量采购的药</w:t>
      </w:r>
      <w:r>
        <w:rPr>
          <w:spacing w:val="-7"/>
        </w:rPr>
        <w:t>品采购原则导致的药品短缺，另一方面指自身需求量小、品种特殊引发的短缺问题，多发生</w:t>
      </w:r>
      <w:r>
        <w:rPr>
          <w:spacing w:val="-1"/>
        </w:rPr>
        <w:t>在招标采购和使用环节</w:t>
      </w:r>
      <w:r>
        <w:rPr/>
        <w:t>（</w:t>
      </w:r>
      <w:r>
        <w:rPr>
          <w:spacing w:val="-9"/>
        </w:rPr>
        <w:t>具体关系见图 </w:t>
      </w:r>
      <w:r>
        <w:rPr>
          <w:rFonts w:ascii="Times New Roman" w:eastAsia="Times New Roman"/>
          <w:spacing w:val="-5"/>
        </w:rPr>
        <w:t>1</w:t>
      </w:r>
      <w:r>
        <w:rPr>
          <w:spacing w:val="-5"/>
        </w:rPr>
        <w:t>）。三种短缺类型不能完全割裂开，彼此间相互转</w:t>
      </w:r>
    </w:p>
    <w:p>
      <w:pPr>
        <w:pStyle w:val="BodyText"/>
        <w:ind w:left="0"/>
        <w:rPr>
          <w:sz w:val="20"/>
        </w:rPr>
      </w:pPr>
    </w:p>
    <w:p>
      <w:pPr>
        <w:pStyle w:val="BodyText"/>
        <w:ind w:left="0"/>
        <w:rPr>
          <w:sz w:val="14"/>
        </w:rPr>
      </w:pPr>
    </w:p>
    <w:p>
      <w:pPr>
        <w:spacing w:before="82"/>
        <w:ind w:left="325" w:right="0" w:firstLine="0"/>
        <w:jc w:val="left"/>
        <w:rPr>
          <w:rFonts w:ascii="仿宋" w:eastAsia="仿宋" w:hint="eastAsia"/>
          <w:b/>
          <w:sz w:val="13"/>
        </w:rPr>
      </w:pPr>
      <w:r>
        <w:rPr/>
        <w:pict>
          <v:shape style="position:absolute;margin-left:200.5pt;margin-top:20.570004pt;width:26.75pt;height:27.3pt;mso-position-horizontal-relative:page;mso-position-vertical-relative:paragraph;z-index:2264;mso-wrap-distance-left:0;mso-wrap-distance-right:0" coordorigin="4010,411" coordsize="535,546" path="m4454,490l4014,939,4010,943,4010,950,4014,954,4018,957,4024,957,4028,953,4468,504,4454,490xm4526,472l4478,472,4482,476,4486,480,4486,486,4482,490,4468,504,4504,539,4526,472xm4478,472l4472,472,4468,476,4454,490,4468,504,4482,490,4486,486,4486,480,4482,476,4478,472xm4545,411l4418,455,4454,490,4468,476,4472,472,4526,472,4545,411xe" filled="true" fillcolor="#000000" stroked="false">
            <v:path arrowok="t"/>
            <v:fill type="solid"/>
            <w10:wrap type="topAndBottom"/>
          </v:shape>
        </w:pict>
      </w:r>
      <w:r>
        <w:rPr/>
        <w:pict>
          <v:group style="position:absolute;margin-left:266.75pt;margin-top:18.900003pt;width:171.3pt;height:30.5pt;mso-position-horizontal-relative:page;mso-position-vertical-relative:paragraph;z-index:2288;mso-wrap-distance-left:0;mso-wrap-distance-right:0" coordorigin="5335,378" coordsize="3426,610">
            <v:shape style="position:absolute;left:5335;top:435;width:2155;height:523" coordorigin="5335,435" coordsize="2155,523" path="m5454,484l5450,503,7482,957,7488,954,7490,943,7487,938,5454,484xm5465,435l5335,467,5439,552,5450,503,5425,498,5422,492,5424,482,5429,478,5456,478,5465,435xm5429,478l5424,482,5422,492,5425,498,5450,503,5454,484,5429,478xm5456,478l5429,478,5454,484,5456,478xe" filled="true" fillcolor="#000000" stroked="false">
              <v:path arrowok="t"/>
              <v:fill type="solid"/>
            </v:shape>
            <v:shape style="position:absolute;left:6238;top:378;width:2523;height:586" coordorigin="6238,378" coordsize="2523,586" path="m8642,427l6241,944,6238,949,6240,960,6246,963,8646,446,8642,427xm8748,422l8667,422,8672,425,8674,436,8671,441,8646,446,8656,495,8748,422xm8667,422l8661,423,8642,427,8646,446,8671,441,8674,436,8672,425,8667,422xm8631,378l8642,427,8661,423,8667,422,8748,422,8761,411,8631,378xe" filled="true" fillcolor="#000000" stroked="false">
              <v:path arrowok="t"/>
              <v:fill type="solid"/>
            </v:shape>
            <v:shape style="position:absolute;left:5539;top:434;width:1236;height:554" coordorigin="5540,434" coordsize="1236,554" path="m6661,480l5542,969,5540,975,5544,985,5550,988,6669,499,6661,480xm6751,470l6684,470,6690,472,6693,477,6695,483,6692,488,6669,499,6689,544,6751,470xm6684,470l6661,480,6669,499,6692,488,6695,483,6693,477,6690,472,6684,470xm6641,434l6661,480,6684,470,6751,470,6775,441,6641,434xe" filled="true" fillcolor="#000000" stroked="false">
              <v:path arrowok="t"/>
              <v:fill type="solid"/>
            </v:shape>
            <w10:wrap type="topAndBottom"/>
          </v:group>
        </w:pict>
      </w:r>
      <w:r>
        <w:rPr/>
        <w:pict>
          <v:shape style="position:absolute;margin-left:459.5pt;margin-top:20.570004pt;width:29.4pt;height:27.3pt;mso-position-horizontal-relative:page;mso-position-vertical-relative:paragraph;z-index:2312;mso-wrap-distance-left:0;mso-wrap-distance-right:0" coordorigin="9190,411" coordsize="588,546" path="m9285,486l9271,500,9760,954,9764,957,9771,957,9774,953,9778,949,9778,943,9774,939,9285,486xm9190,411l9237,537,9271,500,9257,487,9252,483,9252,477,9260,469,9266,468,9301,468,9319,449,9190,411xm9266,468l9260,469,9252,477,9252,483,9257,487,9271,500,9285,486,9270,472,9266,468xm9301,468l9266,468,9270,472,9285,486,9301,468xe" filled="true" fillcolor="#000000" stroked="false">
            <v:path arrowok="t"/>
            <v:fill type="solid"/>
            <w10:wrap type="topAndBottom"/>
          </v:shape>
        </w:pict>
      </w:r>
      <w:r>
        <w:rPr/>
        <w:pict>
          <v:shape style="position:absolute;margin-left:409.149994pt;margin-top:-9.029996pt;width:61.05pt;height:26.4pt;mso-position-horizontal-relative:page;mso-position-vertical-relative:paragraph;z-index:4744" type="#_x0000_t202" filled="false" stroked="true" strokeweight=".75pt" strokecolor="#000000">
            <v:textbox inset="0,0,0,0">
              <w:txbxContent>
                <w:p>
                  <w:pPr>
                    <w:pStyle w:val="BodyText"/>
                    <w:spacing w:before="11"/>
                    <w:ind w:left="0"/>
                    <w:rPr>
                      <w:sz w:val="10"/>
                    </w:rPr>
                  </w:pPr>
                </w:p>
                <w:p>
                  <w:pPr>
                    <w:spacing w:before="0"/>
                    <w:ind w:left="278" w:right="0" w:firstLine="0"/>
                    <w:jc w:val="left"/>
                    <w:rPr>
                      <w:rFonts w:ascii="仿宋" w:eastAsia="仿宋" w:hint="eastAsia"/>
                      <w:sz w:val="13"/>
                    </w:rPr>
                  </w:pPr>
                  <w:r>
                    <w:rPr>
                      <w:rFonts w:ascii="仿宋" w:eastAsia="仿宋" w:hint="eastAsia"/>
                      <w:sz w:val="13"/>
                    </w:rPr>
                    <w:t>数量性短缺</w:t>
                  </w:r>
                </w:p>
              </w:txbxContent>
            </v:textbox>
            <v:stroke dashstyle="solid"/>
            <w10:wrap type="none"/>
          </v:shape>
        </w:pict>
      </w:r>
      <w:r>
        <w:rPr/>
        <w:pict>
          <v:shape style="position:absolute;margin-left:303.75pt;margin-top:-8.379996pt;width:53.45pt;height:23.15pt;mso-position-horizontal-relative:page;mso-position-vertical-relative:paragraph;z-index:4768" type="#_x0000_t202" filled="false" stroked="true" strokeweight=".75pt" strokecolor="#000000">
            <v:textbox inset="0,0,0,0">
              <w:txbxContent>
                <w:p>
                  <w:pPr>
                    <w:pStyle w:val="BodyText"/>
                    <w:spacing w:before="2"/>
                    <w:ind w:left="0"/>
                    <w:rPr>
                      <w:sz w:val="11"/>
                    </w:rPr>
                  </w:pPr>
                </w:p>
                <w:p>
                  <w:pPr>
                    <w:spacing w:before="0"/>
                    <w:ind w:left="204" w:right="0" w:firstLine="0"/>
                    <w:jc w:val="left"/>
                    <w:rPr>
                      <w:rFonts w:ascii="仿宋" w:eastAsia="仿宋" w:hint="eastAsia"/>
                      <w:sz w:val="13"/>
                    </w:rPr>
                  </w:pPr>
                  <w:r>
                    <w:rPr>
                      <w:rFonts w:ascii="仿宋" w:eastAsia="仿宋" w:hint="eastAsia"/>
                      <w:sz w:val="13"/>
                    </w:rPr>
                    <w:t>价格性短缺</w:t>
                  </w:r>
                </w:p>
              </w:txbxContent>
            </v:textbox>
            <v:stroke dashstyle="solid"/>
            <w10:wrap type="none"/>
          </v:shape>
        </w:pict>
      </w:r>
      <w:r>
        <w:rPr/>
        <w:pict>
          <v:shape style="position:absolute;margin-left:200.899994pt;margin-top:-8.379996pt;width:51.15pt;height:23.15pt;mso-position-horizontal-relative:page;mso-position-vertical-relative:paragraph;z-index:4792" type="#_x0000_t202" filled="false" stroked="true" strokeweight=".75pt" strokecolor="#000000">
            <v:textbox inset="0,0,0,0">
              <w:txbxContent>
                <w:p>
                  <w:pPr>
                    <w:pStyle w:val="BodyText"/>
                    <w:spacing w:before="2"/>
                    <w:ind w:left="0"/>
                    <w:rPr>
                      <w:sz w:val="11"/>
                    </w:rPr>
                  </w:pPr>
                </w:p>
                <w:p>
                  <w:pPr>
                    <w:spacing w:before="0"/>
                    <w:ind w:left="180" w:right="0" w:firstLine="0"/>
                    <w:jc w:val="left"/>
                    <w:rPr>
                      <w:rFonts w:ascii="仿宋" w:eastAsia="仿宋" w:hint="eastAsia"/>
                      <w:sz w:val="13"/>
                    </w:rPr>
                  </w:pPr>
                  <w:r>
                    <w:rPr>
                      <w:rFonts w:ascii="仿宋" w:eastAsia="仿宋" w:hint="eastAsia"/>
                      <w:sz w:val="13"/>
                    </w:rPr>
                    <w:t>成本性短缺</w:t>
                  </w:r>
                </w:p>
              </w:txbxContent>
            </v:textbox>
            <v:stroke dashstyle="solid"/>
            <w10:wrap type="none"/>
          </v:shape>
        </w:pict>
      </w:r>
      <w:r>
        <w:rPr>
          <w:rFonts w:ascii="仿宋" w:eastAsia="仿宋" w:hint="eastAsia"/>
          <w:b/>
          <w:w w:val="95"/>
          <w:sz w:val="13"/>
        </w:rPr>
        <w:t>药品短缺类型</w:t>
      </w:r>
    </w:p>
    <w:p>
      <w:pPr>
        <w:pStyle w:val="BodyText"/>
        <w:spacing w:before="10"/>
        <w:ind w:left="0"/>
        <w:rPr>
          <w:rFonts w:ascii="仿宋"/>
          <w:b/>
          <w:sz w:val="9"/>
        </w:rPr>
      </w:pPr>
    </w:p>
    <w:p>
      <w:pPr>
        <w:spacing w:before="0"/>
        <w:ind w:left="325" w:right="0" w:firstLine="0"/>
        <w:jc w:val="left"/>
        <w:rPr>
          <w:rFonts w:ascii="仿宋" w:eastAsia="仿宋" w:hint="eastAsia"/>
          <w:b/>
          <w:sz w:val="13"/>
        </w:rPr>
      </w:pPr>
      <w:r>
        <w:rPr/>
        <w:pict>
          <v:group style="position:absolute;margin-left:427.225006pt;margin-top:18.754995pt;width:61.5pt;height:48.25pt;mso-position-horizontal-relative:page;mso-position-vertical-relative:paragraph;z-index:4408" coordorigin="8545,375" coordsize="1230,965">
            <v:rect style="position:absolute;left:8552;top:563;width:1215;height:769" filled="false" stroked="true" strokeweight=".75pt" strokecolor="#000000">
              <v:stroke dashstyle="shortdash"/>
            </v:rect>
            <v:line style="position:absolute" from="9574,375" to="9574,590" stroked="true" strokeweight="1.3pt" strokecolor="#000000">
              <v:stroke dashstyle="solid"/>
            </v:line>
            <v:shape style="position:absolute;left:8552;top:563;width:1215;height:769" type="#_x0000_t202" filled="false" stroked="true" strokeweight=".75pt" strokecolor="#000000">
              <v:textbox inset="0,0,0,0">
                <w:txbxContent>
                  <w:p>
                    <w:pPr>
                      <w:spacing w:line="240" w:lineRule="auto" w:before="3"/>
                      <w:rPr>
                        <w:sz w:val="11"/>
                      </w:rPr>
                    </w:pPr>
                  </w:p>
                  <w:p>
                    <w:pPr>
                      <w:spacing w:line="448" w:lineRule="auto" w:before="0"/>
                      <w:ind w:left="473" w:right="337" w:hanging="132"/>
                      <w:jc w:val="left"/>
                      <w:rPr>
                        <w:rFonts w:ascii="仿宋" w:eastAsia="仿宋" w:hint="eastAsia"/>
                        <w:sz w:val="13"/>
                      </w:rPr>
                    </w:pPr>
                    <w:r>
                      <w:rPr>
                        <w:rFonts w:ascii="仿宋" w:eastAsia="仿宋" w:hint="eastAsia"/>
                        <w:sz w:val="13"/>
                      </w:rPr>
                      <w:t>医疗机构患者</w:t>
                    </w:r>
                  </w:p>
                </w:txbxContent>
              </v:textbox>
              <v:stroke dashstyle="shortdash"/>
              <w10:wrap type="none"/>
            </v:shape>
            <w10:wrap type="none"/>
          </v:group>
        </w:pict>
      </w:r>
      <w:r>
        <w:rPr/>
        <w:pict>
          <v:group style="position:absolute;margin-left:345.424988pt;margin-top:18.754995pt;width:77.850pt;height:60.25pt;mso-position-horizontal-relative:page;mso-position-vertical-relative:paragraph;z-index:4456" coordorigin="6908,375" coordsize="1557,1205">
            <v:rect style="position:absolute;left:6916;top:564;width:1542;height:1008" filled="false" stroked="true" strokeweight=".75pt" strokecolor="#000000">
              <v:stroke dashstyle="shortdash"/>
            </v:rect>
            <v:line style="position:absolute" from="7739,375" to="7739,590" stroked="true" strokeweight="1.3pt" strokecolor="#000000">
              <v:stroke dashstyle="solid"/>
            </v:line>
            <v:shape style="position:absolute;left:6916;top:564;width:1542;height:1008" type="#_x0000_t202" filled="false" stroked="true" strokeweight=".75pt" strokecolor="#000000">
              <v:textbox inset="0,0,0,0">
                <w:txbxContent>
                  <w:p>
                    <w:pPr>
                      <w:spacing w:line="312" w:lineRule="exact" w:before="23"/>
                      <w:ind w:left="373" w:right="373" w:firstLine="0"/>
                      <w:jc w:val="center"/>
                      <w:rPr>
                        <w:rFonts w:ascii="仿宋" w:eastAsia="仿宋" w:hint="eastAsia"/>
                        <w:sz w:val="13"/>
                      </w:rPr>
                    </w:pPr>
                    <w:r>
                      <w:rPr>
                        <w:rFonts w:ascii="仿宋" w:eastAsia="仿宋" w:hint="eastAsia"/>
                        <w:spacing w:val="-3"/>
                        <w:sz w:val="13"/>
                      </w:rPr>
                      <w:t>药品经营企业</w:t>
                    </w:r>
                    <w:r>
                      <w:rPr>
                        <w:rFonts w:ascii="仿宋" w:eastAsia="仿宋" w:hint="eastAsia"/>
                        <w:sz w:val="13"/>
                      </w:rPr>
                      <w:t>药品配送企 医疗机构</w:t>
                    </w:r>
                  </w:p>
                </w:txbxContent>
              </v:textbox>
              <v:stroke dashstyle="shortdash"/>
              <w10:wrap type="none"/>
            </v:shape>
            <w10:wrap type="none"/>
          </v:group>
        </w:pict>
      </w:r>
      <w:r>
        <w:rPr/>
        <w:pict>
          <v:line style="position:absolute;mso-position-horizontal-relative:page;mso-position-vertical-relative:paragraph;z-index:4480" from="200.924994pt,18.104996pt" to="200.924994pt,28.854996pt" stroked="true" strokeweight="1.3pt" strokecolor="#000000">
            <v:stroke dashstyle="solid"/>
            <w10:wrap type="none"/>
          </v:line>
        </w:pict>
      </w:r>
      <w:r>
        <w:rPr/>
        <w:pict>
          <v:line style="position:absolute;mso-position-horizontal-relative:page;mso-position-vertical-relative:paragraph;z-index:4504" from="293.174994pt,18.054995pt" to="293.174994pt,28.804995pt" stroked="true" strokeweight="1.3pt" strokecolor="#000000">
            <v:stroke dashstyle="solid"/>
            <w10:wrap type="none"/>
          </v:line>
        </w:pict>
      </w:r>
      <w:r>
        <w:rPr/>
        <w:pict>
          <v:shape style="position:absolute;margin-left:237.350006pt;margin-top:3.719995pt;width:20.6pt;height:6pt;mso-position-horizontal-relative:page;mso-position-vertical-relative:paragraph;z-index:4528" coordorigin="4747,74" coordsize="412,120" path="m5039,144l5039,194,5139,144,5064,144,5039,144xm5039,124l5039,144,5064,144,5069,140,5069,129,5065,124,5039,124xm5039,74l5039,124,5059,124,5065,124,5069,129,5069,140,5064,144,5139,144,5159,135,5039,74xm4757,124l4752,124,4747,128,4747,139,4751,144,5039,144,5039,124,4757,124xe" filled="true" fillcolor="#000000" stroked="false">
            <v:path arrowok="t"/>
            <v:fill type="solid"/>
            <w10:wrap type="none"/>
          </v:shape>
        </w:pict>
      </w:r>
      <w:r>
        <w:rPr/>
        <w:pict>
          <v:shape style="position:absolute;margin-left:329.75pt;margin-top:3.619995pt;width:20.6pt;height:6pt;mso-position-horizontal-relative:page;mso-position-vertical-relative:paragraph;z-index:4552" coordorigin="6595,72" coordsize="412,120" path="m6887,142l6887,192,6987,142,6912,142,6887,142xm6887,122l6887,142,6912,142,6917,138,6917,127,6913,122,6887,122xm6887,72l6887,122,6907,122,6913,122,6917,127,6917,138,6912,142,6987,142,7007,133,6887,72xm6605,122l6600,122,6595,126,6595,137,6599,142,6887,142,6887,122,6605,122xe" filled="true" fillcolor="#000000" stroked="false">
            <v:path arrowok="t"/>
            <v:fill type="solid"/>
            <w10:wrap type="none"/>
          </v:shape>
        </w:pict>
      </w:r>
      <w:r>
        <w:rPr/>
        <w:pict>
          <v:shape style="position:absolute;margin-left:422.399994pt;margin-top:3.669995pt;width:20.6pt;height:6pt;mso-position-horizontal-relative:page;mso-position-vertical-relative:paragraph;z-index:4576" coordorigin="8448,73" coordsize="412,120" path="m8740,143l8740,193,8840,143,8765,143,8740,143xm8740,123l8740,143,8765,143,8770,139,8770,128,8766,123,8740,123xm8740,73l8740,123,8760,123,8766,123,8770,128,8770,139,8765,143,8840,143,8860,134,8740,73xm8458,123l8453,123,8448,127,8448,138,8452,143,8740,143,8740,123,8458,123xe" filled="true" fillcolor="#000000" stroked="false">
            <v:path arrowok="t"/>
            <v:fill type="solid"/>
            <w10:wrap type="none"/>
          </v:shape>
        </w:pict>
      </w:r>
      <w:r>
        <w:rPr/>
        <w:pict>
          <v:shape style="position:absolute;margin-left:252.050003pt;margin-top:28.229996pt;width:74.75pt;height:63.4pt;mso-position-horizontal-relative:page;mso-position-vertical-relative:paragraph;z-index:4600" type="#_x0000_t202" filled="false" stroked="true" strokeweight=".75pt" strokecolor="#000000">
            <v:textbox inset="0,0,0,0">
              <w:txbxContent>
                <w:p>
                  <w:pPr>
                    <w:pStyle w:val="BodyText"/>
                    <w:spacing w:before="7"/>
                    <w:ind w:left="0"/>
                    <w:rPr>
                      <w:sz w:val="10"/>
                    </w:rPr>
                  </w:pPr>
                </w:p>
                <w:p>
                  <w:pPr>
                    <w:spacing w:line="345" w:lineRule="auto" w:before="0"/>
                    <w:ind w:left="146" w:right="163" w:firstLine="0"/>
                    <w:jc w:val="left"/>
                    <w:rPr>
                      <w:rFonts w:ascii="仿宋" w:eastAsia="仿宋" w:hint="eastAsia"/>
                      <w:sz w:val="13"/>
                    </w:rPr>
                  </w:pPr>
                  <w:r>
                    <w:rPr>
                      <w:rFonts w:ascii="仿宋" w:eastAsia="仿宋" w:hint="eastAsia"/>
                      <w:sz w:val="13"/>
                    </w:rPr>
                    <w:t>药品生产企业药品经营企业</w:t>
                  </w:r>
                </w:p>
                <w:p>
                  <w:pPr>
                    <w:spacing w:line="343" w:lineRule="auto" w:before="1"/>
                    <w:ind w:left="352" w:right="347" w:firstLine="129"/>
                    <w:jc w:val="left"/>
                    <w:rPr>
                      <w:rFonts w:ascii="仿宋" w:eastAsia="仿宋" w:hint="eastAsia"/>
                      <w:sz w:val="13"/>
                    </w:rPr>
                  </w:pPr>
                  <w:r>
                    <w:rPr>
                      <w:rFonts w:ascii="仿宋" w:eastAsia="仿宋" w:hint="eastAsia"/>
                      <w:sz w:val="13"/>
                    </w:rPr>
                    <w:t>医疗机构 </w:t>
                  </w:r>
                  <w:r>
                    <w:rPr>
                      <w:rFonts w:ascii="仿宋" w:eastAsia="仿宋" w:hint="eastAsia"/>
                      <w:spacing w:val="-3"/>
                      <w:sz w:val="13"/>
                    </w:rPr>
                    <w:t>政府相关部门</w:t>
                  </w:r>
                </w:p>
              </w:txbxContent>
            </v:textbox>
            <v:stroke dashstyle="shortdash"/>
            <w10:wrap type="none"/>
          </v:shape>
        </w:pict>
      </w:r>
      <w:r>
        <w:rPr/>
        <w:pict>
          <v:shape style="position:absolute;margin-left:160.050003pt;margin-top:28.179995pt;width:77.8pt;height:50.45pt;mso-position-horizontal-relative:page;mso-position-vertical-relative:paragraph;z-index:4624" type="#_x0000_t202" filled="false" stroked="true" strokeweight=".75pt" strokecolor="#000000">
            <v:textbox inset="0,0,0,0">
              <w:txbxContent>
                <w:p>
                  <w:pPr>
                    <w:spacing w:line="312" w:lineRule="exact" w:before="24"/>
                    <w:ind w:left="379" w:right="381" w:firstLine="0"/>
                    <w:jc w:val="center"/>
                    <w:rPr>
                      <w:rFonts w:ascii="仿宋" w:eastAsia="仿宋" w:hint="eastAsia"/>
                      <w:sz w:val="13"/>
                    </w:rPr>
                  </w:pPr>
                  <w:r>
                    <w:rPr>
                      <w:rFonts w:ascii="仿宋" w:eastAsia="仿宋" w:hint="eastAsia"/>
                      <w:spacing w:val="-3"/>
                      <w:sz w:val="13"/>
                    </w:rPr>
                    <w:t>药品研发企业</w:t>
                  </w:r>
                  <w:r>
                    <w:rPr>
                      <w:rFonts w:ascii="仿宋" w:eastAsia="仿宋" w:hint="eastAsia"/>
                      <w:sz w:val="13"/>
                    </w:rPr>
                    <w:t>原料药企业 </w:t>
                  </w:r>
                  <w:r>
                    <w:rPr>
                      <w:rFonts w:ascii="仿宋" w:eastAsia="仿宋" w:hint="eastAsia"/>
                      <w:spacing w:val="-3"/>
                      <w:sz w:val="13"/>
                    </w:rPr>
                    <w:t>药品生产企业</w:t>
                  </w:r>
                </w:p>
              </w:txbxContent>
            </v:textbox>
            <v:stroke dashstyle="shortdash"/>
            <w10:wrap type="none"/>
          </v:shape>
        </w:pict>
      </w:r>
      <w:r>
        <w:rPr/>
        <w:pict>
          <v:shape style="position:absolute;margin-left:445.799988pt;margin-top:-7.070005pt;width:42.55pt;height:21.25pt;mso-position-horizontal-relative:page;mso-position-vertical-relative:paragraph;z-index:4648" type="#_x0000_t202" filled="false" stroked="true" strokeweight=".75pt" strokecolor="#000000">
            <v:textbox inset="0,0,0,0">
              <w:txbxContent>
                <w:p>
                  <w:pPr>
                    <w:pStyle w:val="BodyText"/>
                    <w:spacing w:before="2"/>
                    <w:ind w:left="0"/>
                    <w:rPr>
                      <w:sz w:val="11"/>
                    </w:rPr>
                  </w:pPr>
                </w:p>
                <w:p>
                  <w:pPr>
                    <w:spacing w:before="0"/>
                    <w:ind w:left="269" w:right="267" w:firstLine="0"/>
                    <w:jc w:val="center"/>
                    <w:rPr>
                      <w:rFonts w:ascii="仿宋" w:eastAsia="仿宋" w:hint="eastAsia"/>
                      <w:sz w:val="13"/>
                    </w:rPr>
                  </w:pPr>
                  <w:r>
                    <w:rPr>
                      <w:rFonts w:ascii="仿宋" w:eastAsia="仿宋" w:hint="eastAsia"/>
                      <w:sz w:val="13"/>
                    </w:rPr>
                    <w:t>使用</w:t>
                  </w:r>
                </w:p>
              </w:txbxContent>
            </v:textbox>
            <v:stroke dashstyle="solid"/>
            <w10:wrap type="none"/>
          </v:shape>
        </w:pict>
      </w:r>
      <w:r>
        <w:rPr/>
        <w:pict>
          <v:shape style="position:absolute;margin-left:352.450012pt;margin-top:-7.070005pt;width:61.5pt;height:21.25pt;mso-position-horizontal-relative:page;mso-position-vertical-relative:paragraph;z-index:4672" type="#_x0000_t202" filled="false" stroked="true" strokeweight=".75pt" strokecolor="#000000">
            <v:textbox inset="0,0,0,0">
              <w:txbxContent>
                <w:p>
                  <w:pPr>
                    <w:pStyle w:val="BodyText"/>
                    <w:spacing w:before="2"/>
                    <w:ind w:left="0"/>
                    <w:rPr>
                      <w:sz w:val="11"/>
                    </w:rPr>
                  </w:pPr>
                </w:p>
                <w:p>
                  <w:pPr>
                    <w:spacing w:before="0"/>
                    <w:ind w:left="458" w:right="457" w:firstLine="0"/>
                    <w:jc w:val="center"/>
                    <w:rPr>
                      <w:rFonts w:ascii="仿宋" w:eastAsia="仿宋" w:hint="eastAsia"/>
                      <w:sz w:val="13"/>
                    </w:rPr>
                  </w:pPr>
                  <w:r>
                    <w:rPr>
                      <w:rFonts w:ascii="仿宋" w:eastAsia="仿宋" w:hint="eastAsia"/>
                      <w:sz w:val="13"/>
                    </w:rPr>
                    <w:t>流通</w:t>
                  </w:r>
                </w:p>
              </w:txbxContent>
            </v:textbox>
            <v:stroke dashstyle="solid"/>
            <w10:wrap type="none"/>
          </v:shape>
        </w:pict>
      </w:r>
      <w:r>
        <w:rPr/>
        <w:pict>
          <v:shape style="position:absolute;margin-left:259.600006pt;margin-top:-7.020005pt;width:67.2pt;height:21.2pt;mso-position-horizontal-relative:page;mso-position-vertical-relative:paragraph;z-index:4696" type="#_x0000_t202" filled="false" stroked="true" strokeweight=".75pt" strokecolor="#000000">
            <v:textbox inset="0,0,0,0">
              <w:txbxContent>
                <w:p>
                  <w:pPr>
                    <w:pStyle w:val="BodyText"/>
                    <w:spacing w:before="1"/>
                    <w:ind w:left="0"/>
                    <w:rPr>
                      <w:sz w:val="11"/>
                    </w:rPr>
                  </w:pPr>
                </w:p>
                <w:p>
                  <w:pPr>
                    <w:spacing w:before="0"/>
                    <w:ind w:left="405" w:right="0" w:firstLine="0"/>
                    <w:jc w:val="left"/>
                    <w:rPr>
                      <w:rFonts w:ascii="仿宋" w:eastAsia="仿宋" w:hint="eastAsia"/>
                      <w:sz w:val="13"/>
                    </w:rPr>
                  </w:pPr>
                  <w:r>
                    <w:rPr>
                      <w:rFonts w:ascii="仿宋" w:eastAsia="仿宋" w:hint="eastAsia"/>
                      <w:sz w:val="13"/>
                    </w:rPr>
                    <w:t>招标采购</w:t>
                  </w:r>
                </w:p>
              </w:txbxContent>
            </v:textbox>
            <v:stroke dashstyle="solid"/>
            <w10:wrap type="none"/>
          </v:shape>
        </w:pict>
      </w:r>
      <w:r>
        <w:rPr/>
        <w:pict>
          <v:shape style="position:absolute;margin-left:167.5pt;margin-top:-7.020005pt;width:59.75pt;height:21.2pt;mso-position-horizontal-relative:page;mso-position-vertical-relative:paragraph;z-index:4720" type="#_x0000_t202" filled="false" stroked="true" strokeweight=".75pt" strokecolor="#000000">
            <v:textbox inset="0,0,0,0">
              <w:txbxContent>
                <w:p>
                  <w:pPr>
                    <w:pStyle w:val="BodyText"/>
                    <w:spacing w:before="1"/>
                    <w:ind w:left="0"/>
                    <w:rPr>
                      <w:sz w:val="11"/>
                    </w:rPr>
                  </w:pPr>
                </w:p>
                <w:p>
                  <w:pPr>
                    <w:spacing w:before="0"/>
                    <w:ind w:left="441" w:right="438" w:firstLine="0"/>
                    <w:jc w:val="center"/>
                    <w:rPr>
                      <w:rFonts w:ascii="仿宋" w:eastAsia="仿宋" w:hint="eastAsia"/>
                      <w:sz w:val="13"/>
                    </w:rPr>
                  </w:pPr>
                  <w:r>
                    <w:rPr>
                      <w:rFonts w:ascii="仿宋" w:eastAsia="仿宋" w:hint="eastAsia"/>
                      <w:sz w:val="13"/>
                    </w:rPr>
                    <w:t>生产</w:t>
                  </w:r>
                </w:p>
              </w:txbxContent>
            </v:textbox>
            <v:stroke dashstyle="solid"/>
            <w10:wrap type="none"/>
          </v:shape>
        </w:pict>
      </w:r>
      <w:r>
        <w:rPr>
          <w:rFonts w:ascii="仿宋" w:eastAsia="仿宋" w:hint="eastAsia"/>
          <w:b/>
          <w:w w:val="95"/>
          <w:sz w:val="13"/>
        </w:rPr>
        <w:t>药品供应链环</w:t>
      </w:r>
    </w:p>
    <w:p>
      <w:pPr>
        <w:pStyle w:val="BodyText"/>
        <w:ind w:left="0"/>
        <w:rPr>
          <w:rFonts w:ascii="仿宋"/>
          <w:b/>
          <w:sz w:val="12"/>
        </w:rPr>
      </w:pPr>
    </w:p>
    <w:p>
      <w:pPr>
        <w:pStyle w:val="BodyText"/>
        <w:ind w:left="0"/>
        <w:rPr>
          <w:rFonts w:ascii="仿宋"/>
          <w:b/>
          <w:sz w:val="12"/>
        </w:rPr>
      </w:pPr>
    </w:p>
    <w:p>
      <w:pPr>
        <w:pStyle w:val="BodyText"/>
        <w:ind w:left="0"/>
        <w:rPr>
          <w:rFonts w:ascii="仿宋"/>
          <w:b/>
          <w:sz w:val="12"/>
        </w:rPr>
      </w:pPr>
    </w:p>
    <w:p>
      <w:pPr>
        <w:pStyle w:val="BodyText"/>
        <w:ind w:left="0"/>
        <w:rPr>
          <w:rFonts w:ascii="仿宋"/>
          <w:b/>
          <w:sz w:val="12"/>
        </w:rPr>
      </w:pPr>
    </w:p>
    <w:p>
      <w:pPr>
        <w:pStyle w:val="BodyText"/>
        <w:spacing w:before="5"/>
        <w:ind w:left="0"/>
        <w:rPr>
          <w:rFonts w:ascii="仿宋"/>
          <w:b/>
          <w:sz w:val="16"/>
        </w:rPr>
      </w:pPr>
    </w:p>
    <w:p>
      <w:pPr>
        <w:spacing w:before="0"/>
        <w:ind w:left="375" w:right="0" w:firstLine="0"/>
        <w:jc w:val="left"/>
        <w:rPr>
          <w:rFonts w:ascii="仿宋" w:eastAsia="仿宋" w:hint="eastAsia"/>
          <w:b/>
          <w:sz w:val="13"/>
        </w:rPr>
      </w:pPr>
      <w:r>
        <w:rPr>
          <w:rFonts w:ascii="仿宋" w:eastAsia="仿宋" w:hint="eastAsia"/>
          <w:b/>
          <w:sz w:val="13"/>
        </w:rPr>
        <w:t>参与主</w:t>
      </w:r>
    </w:p>
    <w:p>
      <w:pPr>
        <w:pStyle w:val="BodyText"/>
        <w:ind w:left="0"/>
        <w:rPr>
          <w:rFonts w:ascii="仿宋"/>
          <w:b/>
          <w:sz w:val="20"/>
        </w:rPr>
      </w:pPr>
    </w:p>
    <w:p>
      <w:pPr>
        <w:pStyle w:val="BodyText"/>
        <w:ind w:left="0"/>
        <w:rPr>
          <w:rFonts w:ascii="仿宋"/>
          <w:b/>
          <w:sz w:val="20"/>
        </w:rPr>
      </w:pPr>
    </w:p>
    <w:p>
      <w:pPr>
        <w:pStyle w:val="BodyText"/>
        <w:ind w:left="0"/>
        <w:rPr>
          <w:rFonts w:ascii="仿宋"/>
          <w:b/>
          <w:sz w:val="29"/>
        </w:rPr>
      </w:pPr>
    </w:p>
    <w:p>
      <w:pPr>
        <w:pStyle w:val="BodyText"/>
        <w:spacing w:before="66"/>
      </w:pPr>
      <w:r>
        <w:rPr/>
        <w:t>化、相互影响。</w:t>
      </w:r>
    </w:p>
    <w:p>
      <w:pPr>
        <w:spacing w:before="22"/>
        <w:ind w:left="217" w:right="0" w:firstLine="0"/>
        <w:jc w:val="left"/>
        <w:rPr>
          <w:rFonts w:ascii="华文楷体" w:eastAsia="华文楷体" w:hint="eastAsia"/>
          <w:sz w:val="18"/>
        </w:rPr>
      </w:pPr>
      <w:r>
        <w:rPr>
          <w:rFonts w:ascii="华文楷体" w:eastAsia="华文楷体" w:hint="eastAsia"/>
          <w:sz w:val="18"/>
        </w:rPr>
        <w:t>图 1 药品供应短缺关系图</w:t>
      </w:r>
    </w:p>
    <w:p>
      <w:pPr>
        <w:pStyle w:val="Heading3"/>
        <w:numPr>
          <w:ilvl w:val="0"/>
          <w:numId w:val="6"/>
        </w:numPr>
        <w:tabs>
          <w:tab w:pos="888" w:val="left" w:leader="none"/>
        </w:tabs>
        <w:spacing w:line="240" w:lineRule="auto" w:before="72" w:after="0"/>
        <w:ind w:left="887" w:right="0" w:hanging="188"/>
        <w:jc w:val="left"/>
        <w:rPr>
          <w:rFonts w:ascii="Calibri" w:eastAsia="Calibri"/>
          <w:sz w:val="22"/>
        </w:rPr>
      </w:pPr>
      <w:r>
        <w:rPr>
          <w:rFonts w:ascii="宋体" w:eastAsia="宋体" w:hint="eastAsia"/>
        </w:rPr>
        <w:t>我国药品短缺原因的经济学分析</w:t>
      </w:r>
    </w:p>
    <w:p>
      <w:pPr>
        <w:pStyle w:val="ListParagraph"/>
        <w:numPr>
          <w:ilvl w:val="1"/>
          <w:numId w:val="6"/>
        </w:numPr>
        <w:tabs>
          <w:tab w:pos="1062" w:val="left" w:leader="none"/>
        </w:tabs>
        <w:spacing w:line="312" w:lineRule="auto" w:before="88" w:after="0"/>
        <w:ind w:left="217" w:right="1128" w:firstLine="480"/>
        <w:jc w:val="both"/>
        <w:rPr>
          <w:sz w:val="24"/>
        </w:rPr>
      </w:pPr>
      <w:r>
        <w:rPr>
          <w:sz w:val="24"/>
        </w:rPr>
        <w:t>成本性短 在经济学供需均衡理论中，当整个商品市场达到第一次均衡时，需求曲</w:t>
      </w:r>
      <w:r>
        <w:rPr>
          <w:spacing w:val="-20"/>
          <w:sz w:val="24"/>
        </w:rPr>
        <w:t>线为 </w:t>
      </w:r>
      <w:r>
        <w:rPr>
          <w:rFonts w:ascii="Calibri" w:eastAsia="Calibri"/>
          <w:i/>
          <w:spacing w:val="-5"/>
          <w:sz w:val="24"/>
        </w:rPr>
        <w:t>D</w:t>
      </w:r>
      <w:r>
        <w:rPr>
          <w:spacing w:val="-11"/>
          <w:sz w:val="24"/>
        </w:rPr>
        <w:t>，供给曲线为 </w:t>
      </w:r>
      <w:r>
        <w:rPr>
          <w:rFonts w:ascii="Calibri" w:eastAsia="Calibri"/>
          <w:i/>
          <w:spacing w:val="-5"/>
          <w:sz w:val="24"/>
        </w:rPr>
        <w:t>S</w:t>
      </w:r>
      <w:r>
        <w:rPr>
          <w:rFonts w:ascii="Calibri" w:eastAsia="Calibri"/>
          <w:spacing w:val="-5"/>
          <w:sz w:val="24"/>
          <w:vertAlign w:val="subscript"/>
        </w:rPr>
        <w:t>0</w:t>
      </w:r>
      <w:r>
        <w:rPr>
          <w:spacing w:val="-7"/>
          <w:sz w:val="24"/>
          <w:vertAlign w:val="baseline"/>
        </w:rPr>
        <w:t>，两条曲线相交于均衡点 </w:t>
      </w:r>
      <w:r>
        <w:rPr>
          <w:rFonts w:ascii="Calibri" w:eastAsia="Calibri"/>
          <w:i/>
          <w:spacing w:val="-5"/>
          <w:sz w:val="24"/>
          <w:vertAlign w:val="baseline"/>
        </w:rPr>
        <w:t>E</w:t>
      </w:r>
      <w:r>
        <w:rPr>
          <w:rFonts w:ascii="Calibri" w:eastAsia="Calibri"/>
          <w:spacing w:val="-5"/>
          <w:sz w:val="24"/>
          <w:vertAlign w:val="subscript"/>
        </w:rPr>
        <w:t>0</w:t>
      </w:r>
      <w:r>
        <w:rPr>
          <w:spacing w:val="-5"/>
          <w:sz w:val="24"/>
          <w:vertAlign w:val="baseline"/>
        </w:rPr>
        <w:t>（</w:t>
      </w:r>
      <w:r>
        <w:rPr>
          <w:rFonts w:ascii="Calibri" w:eastAsia="Calibri"/>
          <w:i/>
          <w:spacing w:val="-5"/>
          <w:sz w:val="24"/>
          <w:vertAlign w:val="baseline"/>
        </w:rPr>
        <w:t>P</w:t>
      </w:r>
      <w:r>
        <w:rPr>
          <w:rFonts w:ascii="Calibri" w:eastAsia="Calibri"/>
          <w:spacing w:val="-5"/>
          <w:sz w:val="24"/>
          <w:vertAlign w:val="subscript"/>
        </w:rPr>
        <w:t>0</w:t>
      </w:r>
      <w:r>
        <w:rPr>
          <w:spacing w:val="-5"/>
          <w:sz w:val="24"/>
          <w:vertAlign w:val="baseline"/>
        </w:rPr>
        <w:t>，</w:t>
      </w:r>
      <w:r>
        <w:rPr>
          <w:rFonts w:ascii="Calibri" w:eastAsia="Calibri"/>
          <w:i/>
          <w:spacing w:val="-5"/>
          <w:sz w:val="24"/>
          <w:vertAlign w:val="baseline"/>
        </w:rPr>
        <w:t>Q</w:t>
      </w:r>
      <w:r>
        <w:rPr>
          <w:rFonts w:ascii="Calibri" w:eastAsia="Calibri"/>
          <w:spacing w:val="-5"/>
          <w:sz w:val="24"/>
          <w:vertAlign w:val="subscript"/>
        </w:rPr>
        <w:t>0</w:t>
      </w:r>
      <w:r>
        <w:rPr>
          <w:spacing w:val="-5"/>
          <w:sz w:val="24"/>
          <w:vertAlign w:val="baseline"/>
        </w:rPr>
        <w:t>）</w:t>
      </w:r>
      <w:r>
        <w:rPr>
          <w:spacing w:val="-3"/>
          <w:sz w:val="24"/>
          <w:vertAlign w:val="baseline"/>
        </w:rPr>
        <w:t>，市场上商品供给量刚好满足</w:t>
      </w:r>
      <w:r>
        <w:rPr>
          <w:spacing w:val="-7"/>
          <w:sz w:val="24"/>
          <w:vertAlign w:val="baseline"/>
        </w:rPr>
        <w:t>需求量。随着商品成本的提高，供给曲线 </w:t>
      </w:r>
      <w:r>
        <w:rPr>
          <w:rFonts w:ascii="Calibri" w:eastAsia="Calibri"/>
          <w:i/>
          <w:sz w:val="24"/>
          <w:vertAlign w:val="baseline"/>
        </w:rPr>
        <w:t>S</w:t>
      </w:r>
      <w:r>
        <w:rPr>
          <w:rFonts w:ascii="Calibri" w:eastAsia="Calibri"/>
          <w:sz w:val="24"/>
          <w:vertAlign w:val="subscript"/>
        </w:rPr>
        <w:t>0</w:t>
      </w:r>
      <w:r>
        <w:rPr>
          <w:rFonts w:ascii="Calibri" w:eastAsia="Calibri"/>
          <w:spacing w:val="-15"/>
          <w:sz w:val="24"/>
          <w:vertAlign w:val="baseline"/>
        </w:rPr>
        <w:t> </w:t>
      </w:r>
      <w:r>
        <w:rPr>
          <w:spacing w:val="-11"/>
          <w:sz w:val="24"/>
          <w:vertAlign w:val="baseline"/>
        </w:rPr>
        <w:t>向左平移至 </w:t>
      </w:r>
      <w:r>
        <w:rPr>
          <w:rFonts w:ascii="Calibri" w:eastAsia="Calibri"/>
          <w:i/>
          <w:sz w:val="24"/>
          <w:vertAlign w:val="baseline"/>
        </w:rPr>
        <w:t>S</w:t>
      </w:r>
      <w:r>
        <w:rPr>
          <w:rFonts w:ascii="Calibri" w:eastAsia="Calibri"/>
          <w:sz w:val="24"/>
          <w:vertAlign w:val="subscript"/>
        </w:rPr>
        <w:t>1</w:t>
      </w:r>
      <w:r>
        <w:rPr>
          <w:spacing w:val="-11"/>
          <w:sz w:val="24"/>
          <w:vertAlign w:val="baseline"/>
        </w:rPr>
        <w:t>，均衡点由 </w:t>
      </w:r>
      <w:r>
        <w:rPr>
          <w:rFonts w:ascii="Calibri" w:eastAsia="Calibri"/>
          <w:i/>
          <w:sz w:val="24"/>
          <w:vertAlign w:val="baseline"/>
        </w:rPr>
        <w:t>E</w:t>
      </w:r>
      <w:r>
        <w:rPr>
          <w:rFonts w:ascii="Calibri" w:eastAsia="Calibri"/>
          <w:sz w:val="24"/>
          <w:vertAlign w:val="subscript"/>
        </w:rPr>
        <w:t>0</w:t>
      </w:r>
      <w:r>
        <w:rPr>
          <w:sz w:val="24"/>
          <w:vertAlign w:val="baseline"/>
        </w:rPr>
        <w:t>（</w:t>
      </w:r>
      <w:r>
        <w:rPr>
          <w:rFonts w:ascii="Calibri" w:eastAsia="Calibri"/>
          <w:i/>
          <w:sz w:val="24"/>
          <w:vertAlign w:val="baseline"/>
        </w:rPr>
        <w:t>P</w:t>
      </w:r>
      <w:r>
        <w:rPr>
          <w:rFonts w:ascii="Calibri" w:eastAsia="Calibri"/>
          <w:sz w:val="24"/>
          <w:vertAlign w:val="subscript"/>
        </w:rPr>
        <w:t>0</w:t>
      </w:r>
      <w:r>
        <w:rPr>
          <w:sz w:val="24"/>
          <w:vertAlign w:val="baseline"/>
        </w:rPr>
        <w:t>，</w:t>
      </w:r>
      <w:r>
        <w:rPr>
          <w:rFonts w:ascii="Calibri" w:eastAsia="Calibri"/>
          <w:i/>
          <w:sz w:val="24"/>
          <w:vertAlign w:val="baseline"/>
        </w:rPr>
        <w:t>Q</w:t>
      </w:r>
      <w:r>
        <w:rPr>
          <w:rFonts w:ascii="Calibri" w:eastAsia="Calibri"/>
          <w:sz w:val="24"/>
          <w:vertAlign w:val="subscript"/>
        </w:rPr>
        <w:t>0</w:t>
      </w:r>
      <w:r>
        <w:rPr>
          <w:sz w:val="24"/>
          <w:vertAlign w:val="baseline"/>
        </w:rPr>
        <w:t>）移动至</w:t>
      </w:r>
    </w:p>
    <w:p>
      <w:pPr>
        <w:pStyle w:val="BodyText"/>
        <w:spacing w:before="1"/>
      </w:pPr>
      <w:r>
        <w:rPr>
          <w:rFonts w:ascii="Calibri" w:eastAsia="Calibri"/>
          <w:i/>
        </w:rPr>
        <w:t>E</w:t>
      </w:r>
      <w:r>
        <w:rPr>
          <w:rFonts w:ascii="Calibri" w:eastAsia="Calibri"/>
          <w:vertAlign w:val="subscript"/>
        </w:rPr>
        <w:t>1</w:t>
      </w:r>
      <w:r>
        <w:rPr>
          <w:vertAlign w:val="baseline"/>
        </w:rPr>
        <w:t>（</w:t>
      </w:r>
      <w:r>
        <w:rPr>
          <w:rFonts w:ascii="Calibri" w:eastAsia="Calibri"/>
          <w:i/>
          <w:vertAlign w:val="baseline"/>
        </w:rPr>
        <w:t>P</w:t>
      </w:r>
      <w:r>
        <w:rPr>
          <w:rFonts w:ascii="Calibri" w:eastAsia="Calibri"/>
          <w:vertAlign w:val="subscript"/>
        </w:rPr>
        <w:t>1</w:t>
      </w:r>
      <w:r>
        <w:rPr>
          <w:vertAlign w:val="baseline"/>
        </w:rPr>
        <w:t>，</w:t>
      </w:r>
      <w:r>
        <w:rPr>
          <w:rFonts w:ascii="Calibri" w:eastAsia="Calibri"/>
          <w:i/>
          <w:vertAlign w:val="baseline"/>
        </w:rPr>
        <w:t>Q</w:t>
      </w:r>
      <w:r>
        <w:rPr>
          <w:rFonts w:ascii="Calibri" w:eastAsia="Calibri"/>
          <w:vertAlign w:val="subscript"/>
        </w:rPr>
        <w:t>1</w:t>
      </w:r>
      <w:r>
        <w:rPr>
          <w:vertAlign w:val="baseline"/>
        </w:rPr>
        <w:t>），新的均衡状态下商品价格上升，需求量减少。</w:t>
      </w:r>
    </w:p>
    <w:p>
      <w:pPr>
        <w:pStyle w:val="BodyText"/>
        <w:spacing w:line="312" w:lineRule="auto" w:before="91"/>
        <w:ind w:right="1021" w:firstLine="420"/>
        <w:jc w:val="both"/>
      </w:pPr>
      <w:r>
        <w:rPr>
          <w:spacing w:val="-5"/>
        </w:rPr>
        <w:t>理想条件下，药品的供需曲线也将按该规律发生变动。但现实中由于招标采购价格与医</w:t>
      </w:r>
      <w:r>
        <w:rPr>
          <w:spacing w:val="-12"/>
        </w:rPr>
        <w:t>保价格调整机制的限制，药品实际供应价格不能随市场规律及时发生相应变动，在一定期间</w:t>
      </w:r>
      <w:r>
        <w:rPr>
          <w:spacing w:val="-23"/>
        </w:rPr>
        <w:t>内只能为 </w:t>
      </w:r>
      <w:r>
        <w:rPr>
          <w:rFonts w:ascii="Calibri" w:eastAsia="Calibri"/>
          <w:i/>
        </w:rPr>
        <w:t>P</w:t>
      </w:r>
      <w:r>
        <w:rPr>
          <w:rFonts w:ascii="Calibri" w:eastAsia="Calibri"/>
          <w:vertAlign w:val="subscript"/>
        </w:rPr>
        <w:t>0</w:t>
      </w:r>
      <w:r>
        <w:rPr>
          <w:spacing w:val="-9"/>
          <w:vertAlign w:val="baseline"/>
        </w:rPr>
        <w:t>，与供给曲线 </w:t>
      </w:r>
      <w:r>
        <w:rPr>
          <w:rFonts w:ascii="Calibri" w:eastAsia="Calibri"/>
          <w:i/>
          <w:vertAlign w:val="baseline"/>
        </w:rPr>
        <w:t>S</w:t>
      </w:r>
      <w:r>
        <w:rPr>
          <w:rFonts w:ascii="Calibri" w:eastAsia="Calibri"/>
          <w:vertAlign w:val="subscript"/>
        </w:rPr>
        <w:t>1</w:t>
      </w:r>
      <w:r>
        <w:rPr>
          <w:rFonts w:ascii="Calibri" w:eastAsia="Calibri"/>
          <w:vertAlign w:val="baseline"/>
        </w:rPr>
        <w:t> </w:t>
      </w:r>
      <w:r>
        <w:rPr>
          <w:spacing w:val="-16"/>
          <w:vertAlign w:val="baseline"/>
        </w:rPr>
        <w:t>交于点 </w:t>
      </w:r>
      <w:r>
        <w:rPr>
          <w:rFonts w:ascii="Calibri" w:eastAsia="Calibri"/>
          <w:i/>
          <w:vertAlign w:val="baseline"/>
        </w:rPr>
        <w:t>E</w:t>
      </w:r>
      <w:r>
        <w:rPr>
          <w:rFonts w:ascii="Calibri" w:eastAsia="Calibri"/>
          <w:vertAlign w:val="subscript"/>
        </w:rPr>
        <w:t>2</w:t>
      </w:r>
      <w:r>
        <w:rPr>
          <w:vertAlign w:val="baseline"/>
        </w:rPr>
        <w:t>（</w:t>
      </w:r>
      <w:r>
        <w:rPr>
          <w:rFonts w:ascii="Calibri" w:eastAsia="Calibri"/>
          <w:i/>
          <w:vertAlign w:val="baseline"/>
        </w:rPr>
        <w:t>P</w:t>
      </w:r>
      <w:r>
        <w:rPr>
          <w:rFonts w:ascii="Calibri" w:eastAsia="Calibri"/>
          <w:vertAlign w:val="subscript"/>
        </w:rPr>
        <w:t>0</w:t>
      </w:r>
      <w:r>
        <w:rPr>
          <w:vertAlign w:val="baseline"/>
        </w:rPr>
        <w:t>，</w:t>
      </w:r>
      <w:r>
        <w:rPr>
          <w:rFonts w:ascii="Calibri" w:eastAsia="Calibri"/>
          <w:i/>
          <w:vertAlign w:val="baseline"/>
        </w:rPr>
        <w:t>Q</w:t>
      </w:r>
      <w:r>
        <w:rPr>
          <w:rFonts w:ascii="Calibri" w:eastAsia="Calibri"/>
          <w:vertAlign w:val="subscript"/>
        </w:rPr>
        <w:t>2</w:t>
      </w:r>
      <w:r>
        <w:rPr>
          <w:vertAlign w:val="baseline"/>
        </w:rPr>
        <w:t>），</w:t>
      </w:r>
      <w:r>
        <w:rPr>
          <w:spacing w:val="-5"/>
          <w:vertAlign w:val="baseline"/>
        </w:rPr>
        <w:t>即此时市场上药品理论供应量为 </w:t>
      </w:r>
      <w:r>
        <w:rPr>
          <w:rFonts w:ascii="Calibri" w:eastAsia="Calibri"/>
          <w:i/>
          <w:vertAlign w:val="baseline"/>
        </w:rPr>
        <w:t>Q</w:t>
      </w:r>
      <w:r>
        <w:rPr>
          <w:rFonts w:ascii="Calibri" w:eastAsia="Calibri"/>
          <w:vertAlign w:val="subscript"/>
        </w:rPr>
        <w:t>2</w:t>
      </w:r>
      <w:r>
        <w:rPr>
          <w:vertAlign w:val="baseline"/>
        </w:rPr>
        <w:t>。然</w:t>
      </w:r>
      <w:r>
        <w:rPr>
          <w:spacing w:val="-8"/>
          <w:vertAlign w:val="baseline"/>
        </w:rPr>
        <w:t>而，患者对药品是刚性需求，即需求量将维持为 </w:t>
      </w:r>
      <w:r>
        <w:rPr>
          <w:rFonts w:ascii="Calibri" w:eastAsia="Calibri"/>
          <w:i/>
          <w:spacing w:val="-6"/>
          <w:vertAlign w:val="baseline"/>
        </w:rPr>
        <w:t>Q</w:t>
      </w:r>
      <w:r>
        <w:rPr>
          <w:rFonts w:ascii="Calibri" w:eastAsia="Calibri"/>
          <w:spacing w:val="-6"/>
          <w:vertAlign w:val="subscript"/>
        </w:rPr>
        <w:t>0</w:t>
      </w:r>
      <w:r>
        <w:rPr>
          <w:spacing w:val="-5"/>
          <w:vertAlign w:val="baseline"/>
        </w:rPr>
        <w:t>，此时存在</w:t>
      </w:r>
      <w:r>
        <w:rPr>
          <w:vertAlign w:val="baseline"/>
        </w:rPr>
        <w:t>（</w:t>
      </w:r>
      <w:r>
        <w:rPr>
          <w:rFonts w:ascii="Calibri" w:eastAsia="Calibri"/>
          <w:i/>
          <w:vertAlign w:val="baseline"/>
        </w:rPr>
        <w:t>Q</w:t>
      </w:r>
      <w:r>
        <w:rPr>
          <w:rFonts w:ascii="Calibri" w:eastAsia="Calibri"/>
          <w:vertAlign w:val="subscript"/>
        </w:rPr>
        <w:t>0</w:t>
      </w:r>
      <w:r>
        <w:rPr>
          <w:rFonts w:ascii="Calibri" w:eastAsia="Calibri"/>
          <w:spacing w:val="-8"/>
          <w:vertAlign w:val="baseline"/>
        </w:rPr>
        <w:t> - </w:t>
      </w:r>
      <w:r>
        <w:rPr>
          <w:rFonts w:ascii="Calibri" w:eastAsia="Calibri"/>
          <w:i/>
          <w:spacing w:val="-6"/>
          <w:vertAlign w:val="baseline"/>
        </w:rPr>
        <w:t>Q</w:t>
      </w:r>
      <w:r>
        <w:rPr>
          <w:rFonts w:ascii="Calibri" w:eastAsia="Calibri"/>
          <w:spacing w:val="-6"/>
          <w:vertAlign w:val="subscript"/>
        </w:rPr>
        <w:t>2</w:t>
      </w:r>
      <w:r>
        <w:rPr>
          <w:spacing w:val="-6"/>
          <w:vertAlign w:val="baseline"/>
        </w:rPr>
        <w:t>）</w:t>
      </w:r>
      <w:r>
        <w:rPr>
          <w:spacing w:val="-3"/>
          <w:vertAlign w:val="baseline"/>
        </w:rPr>
        <w:t>的供应缺口，出现药品短缺（</w:t>
      </w:r>
      <w:r>
        <w:rPr>
          <w:spacing w:val="-11"/>
          <w:vertAlign w:val="baseline"/>
        </w:rPr>
        <w:t>图 </w:t>
      </w:r>
      <w:r>
        <w:rPr>
          <w:rFonts w:ascii="Calibri" w:eastAsia="Calibri"/>
          <w:vertAlign w:val="baseline"/>
        </w:rPr>
        <w:t>2</w:t>
      </w:r>
      <w:r>
        <w:rPr>
          <w:vertAlign w:val="baseline"/>
        </w:rPr>
        <w:t>）</w:t>
      </w:r>
      <w:r>
        <w:rPr>
          <w:spacing w:val="-1"/>
          <w:vertAlign w:val="baseline"/>
        </w:rPr>
        <w:t>。目前，药品的供给成本主要由生产性成本和流通性成本两大部分构成。</w:t>
      </w:r>
    </w:p>
    <w:p>
      <w:pPr>
        <w:spacing w:after="0" w:line="312" w:lineRule="auto"/>
        <w:jc w:val="both"/>
        <w:sectPr>
          <w:pgSz w:w="11910" w:h="16850"/>
          <w:pgMar w:header="906" w:footer="607" w:top="1100" w:bottom="800" w:left="1060" w:right="0"/>
        </w:sectPr>
      </w:pPr>
    </w:p>
    <w:p>
      <w:pPr>
        <w:spacing w:before="117"/>
        <w:ind w:left="217" w:right="0" w:firstLine="0"/>
        <w:jc w:val="left"/>
        <w:rPr>
          <w:rFonts w:ascii="华文楷体" w:eastAsia="华文楷体" w:hint="eastAsia"/>
          <w:sz w:val="18"/>
        </w:rPr>
      </w:pPr>
      <w:r>
        <w:rPr>
          <w:rFonts w:ascii="华文楷体" w:eastAsia="华文楷体" w:hint="eastAsia"/>
          <w:sz w:val="18"/>
        </w:rPr>
        <w:t>图 2 药品供需曲线图（成本性短缺）</w:t>
      </w:r>
    </w:p>
    <w:p>
      <w:pPr>
        <w:pStyle w:val="BodyText"/>
        <w:spacing w:before="7" w:after="39"/>
        <w:ind w:left="0"/>
        <w:rPr>
          <w:rFonts w:ascii="华文楷体"/>
          <w:sz w:val="11"/>
        </w:rPr>
      </w:pPr>
    </w:p>
    <w:p>
      <w:pPr>
        <w:pStyle w:val="BodyText"/>
        <w:ind w:left="436" w:right="-15"/>
        <w:rPr>
          <w:rFonts w:ascii="华文楷体"/>
          <w:sz w:val="20"/>
        </w:rPr>
      </w:pPr>
      <w:r>
        <w:rPr>
          <w:rFonts w:ascii="华文楷体"/>
          <w:sz w:val="20"/>
        </w:rPr>
        <w:drawing>
          <wp:inline distT="0" distB="0" distL="0" distR="0">
            <wp:extent cx="1980356" cy="1697354"/>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16" cstate="print"/>
                    <a:stretch>
                      <a:fillRect/>
                    </a:stretch>
                  </pic:blipFill>
                  <pic:spPr>
                    <a:xfrm>
                      <a:off x="0" y="0"/>
                      <a:ext cx="1980356" cy="1697354"/>
                    </a:xfrm>
                    <a:prstGeom prst="rect">
                      <a:avLst/>
                    </a:prstGeom>
                  </pic:spPr>
                </pic:pic>
              </a:graphicData>
            </a:graphic>
          </wp:inline>
        </w:drawing>
      </w:r>
      <w:r>
        <w:rPr>
          <w:rFonts w:ascii="华文楷体"/>
          <w:sz w:val="20"/>
        </w:rPr>
      </w:r>
    </w:p>
    <w:p>
      <w:pPr>
        <w:pStyle w:val="BodyText"/>
        <w:spacing w:before="2"/>
        <w:ind w:left="0"/>
        <w:rPr>
          <w:rFonts w:ascii="华文楷体"/>
          <w:sz w:val="29"/>
        </w:rPr>
      </w:pPr>
      <w:r>
        <w:rPr/>
        <w:br w:type="column"/>
      </w:r>
      <w:r>
        <w:rPr>
          <w:rFonts w:ascii="华文楷体"/>
          <w:sz w:val="29"/>
        </w:rPr>
      </w:r>
    </w:p>
    <w:p>
      <w:pPr>
        <w:pStyle w:val="ListParagraph"/>
        <w:numPr>
          <w:ilvl w:val="2"/>
          <w:numId w:val="6"/>
        </w:numPr>
        <w:tabs>
          <w:tab w:pos="1228" w:val="left" w:leader="none"/>
        </w:tabs>
        <w:spacing w:line="240" w:lineRule="auto" w:before="0" w:after="0"/>
        <w:ind w:left="1227" w:right="0" w:hanging="540"/>
        <w:jc w:val="left"/>
        <w:rPr>
          <w:rFonts w:ascii="Times New Roman" w:eastAsia="Times New Roman"/>
          <w:sz w:val="24"/>
        </w:rPr>
      </w:pPr>
      <w:r>
        <w:rPr>
          <w:sz w:val="24"/>
        </w:rPr>
        <w:t>生产性成本</w:t>
      </w:r>
    </w:p>
    <w:p>
      <w:pPr>
        <w:pStyle w:val="ListParagraph"/>
        <w:numPr>
          <w:ilvl w:val="0"/>
          <w:numId w:val="7"/>
        </w:numPr>
        <w:tabs>
          <w:tab w:pos="1299" w:val="left" w:leader="none"/>
        </w:tabs>
        <w:spacing w:line="312" w:lineRule="auto" w:before="93" w:after="0"/>
        <w:ind w:left="217" w:right="1128" w:firstLine="480"/>
        <w:jc w:val="left"/>
        <w:rPr>
          <w:sz w:val="24"/>
        </w:rPr>
      </w:pPr>
      <w:r>
        <w:rPr>
          <w:sz w:val="24"/>
        </w:rPr>
        <w:t>原料药价格上涨</w:t>
      </w:r>
      <w:r>
        <w:rPr>
          <w:rFonts w:ascii="Times New Roman" w:eastAsia="Times New Roman"/>
          <w:sz w:val="24"/>
        </w:rPr>
        <w:t>:</w:t>
      </w:r>
      <w:r>
        <w:rPr>
          <w:spacing w:val="-3"/>
          <w:sz w:val="24"/>
        </w:rPr>
        <w:t>在药品的生产性成本中，原</w:t>
      </w:r>
      <w:r>
        <w:rPr>
          <w:spacing w:val="-5"/>
          <w:sz w:val="24"/>
        </w:rPr>
        <w:t>料药成本占很大比重。吕英刚</w:t>
      </w:r>
      <w:r>
        <w:rPr>
          <w:spacing w:val="-4"/>
          <w:sz w:val="24"/>
        </w:rPr>
        <w:t>（</w:t>
      </w:r>
      <w:r>
        <w:rPr>
          <w:rFonts w:ascii="Times New Roman" w:eastAsia="Times New Roman"/>
          <w:spacing w:val="-4"/>
          <w:sz w:val="24"/>
        </w:rPr>
        <w:t>2012</w:t>
      </w:r>
      <w:r>
        <w:rPr>
          <w:spacing w:val="-4"/>
          <w:sz w:val="24"/>
        </w:rPr>
        <w:t>）</w:t>
      </w:r>
      <w:r>
        <w:rPr>
          <w:spacing w:val="-3"/>
          <w:sz w:val="24"/>
        </w:rPr>
        <w:t>对某公司代表性</w:t>
      </w:r>
      <w:r>
        <w:rPr>
          <w:sz w:val="24"/>
        </w:rPr>
        <w:t>药品连续三年的制造成本占比变化情况进行数据分析发现，</w:t>
      </w:r>
      <w:r>
        <w:rPr>
          <w:rFonts w:ascii="Times New Roman" w:eastAsia="Times New Roman"/>
          <w:sz w:val="24"/>
        </w:rPr>
        <w:t>2008</w:t>
      </w:r>
      <w:r>
        <w:rPr>
          <w:rFonts w:ascii="Times New Roman" w:eastAsia="Times New Roman"/>
          <w:spacing w:val="-1"/>
          <w:sz w:val="24"/>
        </w:rPr>
        <w:t> </w:t>
      </w:r>
      <w:r>
        <w:rPr>
          <w:spacing w:val="-21"/>
          <w:sz w:val="24"/>
        </w:rPr>
        <w:t>年至 </w:t>
      </w:r>
      <w:r>
        <w:rPr>
          <w:rFonts w:ascii="Times New Roman" w:eastAsia="Times New Roman"/>
          <w:sz w:val="24"/>
        </w:rPr>
        <w:t>2010 </w:t>
      </w:r>
      <w:r>
        <w:rPr>
          <w:spacing w:val="-3"/>
          <w:sz w:val="24"/>
        </w:rPr>
        <w:t>年三年原辅、包材成本占比分别</w:t>
      </w:r>
      <w:r>
        <w:rPr>
          <w:spacing w:val="-32"/>
          <w:sz w:val="24"/>
        </w:rPr>
        <w:t>为 </w:t>
      </w:r>
      <w:r>
        <w:rPr>
          <w:rFonts w:ascii="Times New Roman" w:eastAsia="Times New Roman"/>
          <w:sz w:val="24"/>
        </w:rPr>
        <w:t>47.62%</w:t>
      </w:r>
      <w:r>
        <w:rPr>
          <w:sz w:val="24"/>
        </w:rPr>
        <w:t>、</w:t>
      </w:r>
      <w:r>
        <w:rPr>
          <w:rFonts w:ascii="Times New Roman" w:eastAsia="Times New Roman"/>
          <w:sz w:val="24"/>
        </w:rPr>
        <w:t>48.05%</w:t>
      </w:r>
      <w:r>
        <w:rPr>
          <w:spacing w:val="-32"/>
          <w:sz w:val="24"/>
        </w:rPr>
        <w:t>和 </w:t>
      </w:r>
      <w:r>
        <w:rPr>
          <w:rFonts w:ascii="Times New Roman" w:eastAsia="Times New Roman"/>
          <w:sz w:val="24"/>
        </w:rPr>
        <w:t>48.41%</w:t>
      </w:r>
      <w:r>
        <w:rPr>
          <w:spacing w:val="-2"/>
          <w:sz w:val="24"/>
        </w:rPr>
        <w:t>；本研究在对上海多家药</w:t>
      </w:r>
      <w:r>
        <w:rPr>
          <w:spacing w:val="-5"/>
          <w:sz w:val="24"/>
        </w:rPr>
        <w:t>品生产企业的药品生产成本构成调查时发现，某些药品</w:t>
      </w:r>
      <w:r>
        <w:rPr>
          <w:spacing w:val="-4"/>
          <w:sz w:val="24"/>
        </w:rPr>
        <w:t>的原料药成本占生产总成本的比例高达 </w:t>
      </w:r>
      <w:r>
        <w:rPr>
          <w:rFonts w:ascii="Times New Roman" w:eastAsia="Times New Roman"/>
          <w:sz w:val="24"/>
        </w:rPr>
        <w:t>50%~0%</w:t>
      </w:r>
      <w:r>
        <w:rPr>
          <w:spacing w:val="-24"/>
          <w:sz w:val="24"/>
        </w:rPr>
        <w:t>。对于</w:t>
      </w:r>
    </w:p>
    <w:p>
      <w:pPr>
        <w:spacing w:after="0" w:line="312" w:lineRule="auto"/>
        <w:jc w:val="left"/>
        <w:rPr>
          <w:sz w:val="24"/>
        </w:rPr>
        <w:sectPr>
          <w:pgSz w:w="11910" w:h="16850"/>
          <w:pgMar w:header="906" w:footer="607" w:top="1100" w:bottom="800" w:left="1060" w:right="0"/>
          <w:cols w:num="2" w:equalWidth="0">
            <w:col w:w="3583" w:space="222"/>
            <w:col w:w="7045"/>
          </w:cols>
        </w:sectPr>
      </w:pPr>
    </w:p>
    <w:p>
      <w:pPr>
        <w:pStyle w:val="BodyText"/>
        <w:spacing w:line="312" w:lineRule="auto" w:before="4"/>
        <w:ind w:right="1127"/>
        <w:jc w:val="both"/>
      </w:pPr>
      <w:r>
        <w:rPr>
          <w:spacing w:val="-10"/>
        </w:rPr>
        <w:t>这些类药品，原料药价格上涨会较大程度的影响药品生产成本。原料药价格不断上涨的原因主要包括原料药成本上涨、市场供求关系变化引致价格自然上涨以及人为恶意垄断造成不合</w:t>
      </w:r>
      <w:r>
        <w:rPr>
          <w:spacing w:val="-11"/>
        </w:rPr>
        <w:t>理飞涨。其中，违反市场竞争规律的是人为垄断造成原料药价格上涨，如上海某企业生产的</w:t>
      </w:r>
      <w:r>
        <w:rPr>
          <w:spacing w:val="-6"/>
        </w:rPr>
        <w:t>硫酸镁药品的原料药被经销商垄断控制，价格从 </w:t>
      </w:r>
      <w:r>
        <w:rPr>
          <w:rFonts w:ascii="Times New Roman" w:eastAsia="Times New Roman"/>
        </w:rPr>
        <w:t>6500 </w:t>
      </w:r>
      <w:r>
        <w:rPr>
          <w:spacing w:val="-9"/>
        </w:rPr>
        <w:t>元每吨飞涨至 </w:t>
      </w:r>
      <w:r>
        <w:rPr>
          <w:rFonts w:ascii="Times New Roman" w:eastAsia="Times New Roman"/>
        </w:rPr>
        <w:t>15 </w:t>
      </w:r>
      <w:r>
        <w:rPr>
          <w:spacing w:val="-9"/>
        </w:rPr>
        <w:t>万元每吨，大大提高</w:t>
      </w:r>
      <w:r>
        <w:rPr>
          <w:spacing w:val="-10"/>
        </w:rPr>
        <w:t>了药品生产成本，该企业已经削减了硫酸镁的生产量，这将会对整个市场中硫酸镁的供应产</w:t>
      </w:r>
      <w:r>
        <w:rPr/>
        <w:t>生较大影响。</w:t>
      </w:r>
    </w:p>
    <w:p>
      <w:pPr>
        <w:pStyle w:val="ListParagraph"/>
        <w:numPr>
          <w:ilvl w:val="0"/>
          <w:numId w:val="7"/>
        </w:numPr>
        <w:tabs>
          <w:tab w:pos="1299" w:val="left" w:leader="none"/>
        </w:tabs>
        <w:spacing w:line="312" w:lineRule="auto" w:before="1" w:after="0"/>
        <w:ind w:left="217" w:right="1007" w:firstLine="480"/>
        <w:jc w:val="left"/>
        <w:rPr>
          <w:sz w:val="24"/>
        </w:rPr>
      </w:pPr>
      <w:r>
        <w:rPr>
          <w:sz w:val="24"/>
        </w:rPr>
        <w:t>药品质量标准提高</w:t>
      </w:r>
      <w:r>
        <w:rPr>
          <w:rFonts w:ascii="Times New Roman" w:eastAsia="Times New Roman"/>
          <w:sz w:val="24"/>
        </w:rPr>
        <w:t>:2015 </w:t>
      </w:r>
      <w:r>
        <w:rPr>
          <w:spacing w:val="-7"/>
          <w:sz w:val="24"/>
        </w:rPr>
        <w:t>年新版药典出台，一方面对我国药品质量提高起到了促进</w:t>
      </w:r>
      <w:r>
        <w:rPr>
          <w:spacing w:val="-11"/>
          <w:sz w:val="24"/>
        </w:rPr>
        <w:t>作用，如对重金属以及中药材中有毒有害物质的控制，对化学药已知杂质和未知杂质的区别</w:t>
      </w:r>
      <w:r>
        <w:rPr>
          <w:spacing w:val="-15"/>
          <w:sz w:val="24"/>
        </w:rPr>
        <w:t>控制与研究等都推动了药品质量的提升；另一方面也在一定程度上也加重了企业负担，其需要付出较多人力、物力、财力以及时间对硬件设施等进行改造升级，部分企业因在限定时间</w:t>
      </w:r>
      <w:r>
        <w:rPr>
          <w:spacing w:val="-22"/>
          <w:sz w:val="24"/>
        </w:rPr>
        <w:t>内未达到标准而被迫停产，这会带来整个药品市场的供需失衡。如氯解磷定生产标准的提高， </w:t>
      </w:r>
      <w:r>
        <w:rPr>
          <w:spacing w:val="-2"/>
          <w:sz w:val="24"/>
        </w:rPr>
        <w:t>造成多家企业停产；硫酸沙丁胺醇粉雾剂、丙酸倍氯米松粉雾剂质量标准提升，现有 </w:t>
      </w:r>
      <w:r>
        <w:rPr>
          <w:rFonts w:ascii="Times New Roman" w:eastAsia="Times New Roman"/>
          <w:sz w:val="24"/>
        </w:rPr>
        <w:t>D</w:t>
      </w:r>
      <w:r>
        <w:rPr>
          <w:rFonts w:ascii="Times New Roman" w:eastAsia="Times New Roman"/>
          <w:spacing w:val="-2"/>
          <w:sz w:val="24"/>
        </w:rPr>
        <w:t> </w:t>
      </w:r>
      <w:r>
        <w:rPr>
          <w:sz w:val="24"/>
        </w:rPr>
        <w:t>级洁净度生产环境下仍可能无法满足微生物限度检查要求</w:t>
      </w:r>
      <w:r>
        <w:rPr>
          <w:rFonts w:ascii="Times New Roman" w:eastAsia="Times New Roman"/>
          <w:sz w:val="24"/>
        </w:rPr>
        <w:t>1</w:t>
      </w:r>
      <w:r>
        <w:rPr>
          <w:sz w:val="24"/>
        </w:rPr>
        <w:t>，存在停产风险。然而，这些种类</w:t>
      </w:r>
      <w:r>
        <w:rPr>
          <w:spacing w:val="-5"/>
          <w:sz w:val="24"/>
        </w:rPr>
        <w:t>的药品在现有生产条件下可以保障药品安全性。因此，在保证药品疗效、安全的条件下是否可以考虑适当放宽标准或放宽改进期限，从而兼顾保障市场上药品供应量。</w:t>
      </w:r>
    </w:p>
    <w:p>
      <w:pPr>
        <w:pStyle w:val="BodyText"/>
        <w:spacing w:line="312" w:lineRule="auto" w:before="3"/>
        <w:ind w:right="1007" w:firstLine="480"/>
      </w:pPr>
      <w:r>
        <w:rPr>
          <w:spacing w:val="-8"/>
        </w:rPr>
        <w:t>另外，在国家推行仿制药一致性评价的政策背景下，面对品种多、时间紧、投入大的状</w:t>
      </w:r>
      <w:r>
        <w:rPr>
          <w:spacing w:val="-10"/>
        </w:rPr>
        <w:t>况，企业会结合自身人力和财力情况、通过一致性评价的难易程度、投入费用的多少、市场</w:t>
      </w:r>
      <w:r>
        <w:rPr>
          <w:spacing w:val="-21"/>
        </w:rPr>
        <w:t>容量的大小等因素做出品种取舍，一些市场容量小、利润低而投入又大的品种可能会被放弃。</w:t>
      </w:r>
      <w:r>
        <w:rPr/>
        <w:t>这也造成了药品的潜在短缺。</w:t>
      </w:r>
    </w:p>
    <w:p>
      <w:pPr>
        <w:pStyle w:val="ListParagraph"/>
        <w:numPr>
          <w:ilvl w:val="0"/>
          <w:numId w:val="7"/>
        </w:numPr>
        <w:tabs>
          <w:tab w:pos="1299" w:val="left" w:leader="none"/>
        </w:tabs>
        <w:spacing w:line="312" w:lineRule="auto" w:before="0" w:after="0"/>
        <w:ind w:left="217" w:right="1128" w:firstLine="480"/>
        <w:jc w:val="both"/>
        <w:rPr>
          <w:sz w:val="24"/>
        </w:rPr>
      </w:pPr>
      <w:r>
        <w:rPr>
          <w:sz w:val="24"/>
        </w:rPr>
        <w:t>环保成本</w:t>
      </w:r>
      <w:r>
        <w:rPr>
          <w:rFonts w:ascii="Times New Roman" w:hAnsi="Times New Roman" w:eastAsia="Times New Roman"/>
          <w:sz w:val="24"/>
        </w:rPr>
        <w:t>:</w:t>
      </w:r>
      <w:r>
        <w:rPr>
          <w:spacing w:val="-3"/>
          <w:sz w:val="24"/>
        </w:rPr>
        <w:t>国家加大对环保产业的治理力度给制药产业带来了任务与挑战，如《国</w:t>
      </w:r>
      <w:r>
        <w:rPr>
          <w:spacing w:val="-10"/>
          <w:sz w:val="24"/>
        </w:rPr>
        <w:t>家环境保护标准“十三五”发展规划》对制药产业大气污染物排放标准、固体废物污染控制</w:t>
      </w:r>
      <w:r>
        <w:rPr>
          <w:spacing w:val="-9"/>
          <w:sz w:val="24"/>
        </w:rPr>
        <w:t>标准提出了要求。环保高压下，部分原料药企业停产，原料药涨价，直接影响下游企业生产</w:t>
      </w:r>
      <w:r>
        <w:rPr>
          <w:spacing w:val="-13"/>
          <w:sz w:val="24"/>
        </w:rPr>
        <w:t>成本。而相对于其他行业</w:t>
      </w:r>
      <w:r>
        <w:rPr>
          <w:sz w:val="24"/>
        </w:rPr>
        <w:t>（</w:t>
      </w:r>
      <w:r>
        <w:rPr>
          <w:spacing w:val="-8"/>
          <w:sz w:val="24"/>
        </w:rPr>
        <w:t>如纺织业、造纸业</w:t>
      </w:r>
      <w:r>
        <w:rPr>
          <w:spacing w:val="-58"/>
          <w:sz w:val="24"/>
        </w:rPr>
        <w:t>），</w:t>
      </w:r>
      <w:r>
        <w:rPr>
          <w:spacing w:val="-4"/>
          <w:sz w:val="24"/>
        </w:rPr>
        <w:t>制药行业污染的治理难度和工作量会高 </w:t>
      </w:r>
      <w:r>
        <w:rPr>
          <w:rFonts w:ascii="Times New Roman" w:hAnsi="Times New Roman" w:eastAsia="Times New Roman"/>
          <w:spacing w:val="-12"/>
          <w:sz w:val="24"/>
        </w:rPr>
        <w:t>4</w:t>
      </w:r>
      <w:r>
        <w:rPr>
          <w:spacing w:val="-12"/>
          <w:sz w:val="24"/>
        </w:rPr>
        <w:t>～</w:t>
      </w:r>
    </w:p>
    <w:p>
      <w:pPr>
        <w:pStyle w:val="BodyText"/>
        <w:spacing w:before="2"/>
        <w:jc w:val="both"/>
      </w:pPr>
      <w:r>
        <w:rPr>
          <w:rFonts w:ascii="Times New Roman" w:eastAsia="Times New Roman"/>
        </w:rPr>
        <w:t>7 </w:t>
      </w:r>
      <w:r>
        <w:rPr/>
        <w:t>倍，环保成本也更高。</w:t>
      </w:r>
    </w:p>
    <w:p>
      <w:pPr>
        <w:pStyle w:val="BodyText"/>
        <w:ind w:left="0"/>
        <w:rPr>
          <w:sz w:val="20"/>
        </w:rPr>
      </w:pPr>
    </w:p>
    <w:p>
      <w:pPr>
        <w:pStyle w:val="BodyText"/>
        <w:ind w:left="0"/>
        <w:rPr>
          <w:sz w:val="20"/>
        </w:rPr>
      </w:pPr>
    </w:p>
    <w:p>
      <w:pPr>
        <w:pStyle w:val="BodyText"/>
        <w:spacing w:before="12"/>
        <w:ind w:left="0"/>
        <w:rPr>
          <w:sz w:val="26"/>
        </w:rPr>
      </w:pPr>
      <w:r>
        <w:rPr/>
        <w:pict>
          <v:line style="position:absolute;mso-position-horizontal-relative:page;mso-position-vertical-relative:paragraph;z-index:2768;mso-wrap-distance-left:0;mso-wrap-distance-right:0" from="63.863998pt,19.670015pt" to="207.883998pt,19.670015pt" stroked="true" strokeweight=".83997pt" strokecolor="#000000">
            <v:stroke dashstyle="solid"/>
            <w10:wrap type="topAndBottom"/>
          </v:line>
        </w:pict>
      </w:r>
    </w:p>
    <w:p>
      <w:pPr>
        <w:spacing w:after="0"/>
        <w:rPr>
          <w:sz w:val="26"/>
        </w:rPr>
        <w:sectPr>
          <w:type w:val="continuous"/>
          <w:pgSz w:w="11910" w:h="16850"/>
          <w:pgMar w:top="1080" w:bottom="1020" w:left="1060" w:right="0"/>
        </w:sectPr>
      </w:pPr>
    </w:p>
    <w:p>
      <w:pPr>
        <w:pStyle w:val="ListParagraph"/>
        <w:numPr>
          <w:ilvl w:val="2"/>
          <w:numId w:val="6"/>
        </w:numPr>
        <w:tabs>
          <w:tab w:pos="1245" w:val="left" w:leader="none"/>
        </w:tabs>
        <w:spacing w:line="312" w:lineRule="auto" w:before="79" w:after="0"/>
        <w:ind w:left="217" w:right="1014" w:firstLine="480"/>
        <w:jc w:val="both"/>
        <w:rPr>
          <w:rFonts w:ascii="Calibri" w:hAnsi="Calibri" w:eastAsia="Calibri"/>
          <w:sz w:val="24"/>
        </w:rPr>
      </w:pPr>
      <w:r>
        <w:rPr>
          <w:spacing w:val="-8"/>
          <w:sz w:val="24"/>
        </w:rPr>
        <w:t>流通性成本  药品从生产到使用需要经过流通配送，在此过程会产生运输、检验、</w:t>
      </w:r>
      <w:r>
        <w:rPr>
          <w:spacing w:val="-13"/>
          <w:sz w:val="24"/>
        </w:rPr>
        <w:t>包装、仓储、搬运等多种显性成本，以及资金利息、积压、设施投入与折旧、人员培训、经营风险、时间成本等隐形成本。流通企业追逐利润，会优先满足价格高、路线便利的药品配</w:t>
      </w:r>
      <w:r>
        <w:rPr>
          <w:spacing w:val="-9"/>
          <w:sz w:val="24"/>
        </w:rPr>
        <w:t>送。特别是国家推行“两票制”</w:t>
      </w:r>
      <w:r>
        <w:rPr>
          <w:spacing w:val="-22"/>
          <w:sz w:val="24"/>
        </w:rPr>
        <w:t>（</w:t>
      </w:r>
      <w:r>
        <w:rPr>
          <w:spacing w:val="-2"/>
          <w:sz w:val="24"/>
        </w:rPr>
        <w:t>生产企业到流通企业开一次发票，流通企业到医疗机构开一次发票</w:t>
      </w:r>
      <w:r>
        <w:rPr>
          <w:spacing w:val="-22"/>
          <w:sz w:val="24"/>
        </w:rPr>
        <w:t>），</w:t>
      </w:r>
      <w:r>
        <w:rPr>
          <w:spacing w:val="-4"/>
          <w:sz w:val="24"/>
        </w:rPr>
        <w:t>对大中型城市的医疗机构影响不大，但对农村、山区、交通不便的边远地区的</w:t>
      </w:r>
      <w:r>
        <w:rPr>
          <w:spacing w:val="-11"/>
          <w:sz w:val="24"/>
        </w:rPr>
        <w:t>基层医疗机构来讲，由于使用的多是基本药物，用药量小、价格低、利润少，企业即使配送</w:t>
      </w:r>
      <w:r>
        <w:rPr>
          <w:spacing w:val="-12"/>
          <w:sz w:val="24"/>
        </w:rPr>
        <w:t>到位，也会产生较高的配送成本，而一些急抢救药还存在储存成本大、易过期等特点，还要</w:t>
      </w:r>
      <w:r>
        <w:rPr>
          <w:spacing w:val="-13"/>
          <w:sz w:val="24"/>
        </w:rPr>
        <w:t>面临资金垫付、周转缓慢等问题，这些都使得企业经销、配送的积极性下降，甚至不配送。</w:t>
      </w:r>
    </w:p>
    <w:p>
      <w:pPr>
        <w:pStyle w:val="BodyText"/>
        <w:spacing w:line="312" w:lineRule="auto" w:before="1"/>
        <w:ind w:right="1127" w:firstLine="420"/>
        <w:jc w:val="both"/>
      </w:pPr>
      <w:r>
        <w:rPr>
          <w:spacing w:val="-6"/>
        </w:rPr>
        <w:t>在推进实施“两票制”政策过程中，为保障基层地区药品供应，部分省份因地制宜制定</w:t>
      </w:r>
      <w:r>
        <w:rPr>
          <w:spacing w:val="-10"/>
        </w:rPr>
        <w:t>了应对措施，如安徽省规定药品经营企业将药品销售到偏远山区基层公立医疗机构的，允许</w:t>
      </w:r>
      <w:r>
        <w:rPr>
          <w:spacing w:val="-13"/>
        </w:rPr>
        <w:t>在“两票制”基础上再开一次药品购销发票。该做法确实在一定程度上解决了部分地区的药</w:t>
      </w:r>
      <w:r>
        <w:rPr/>
        <w:t>品配送问题，但从全国范围看，“两票制”下的药品配送问题仍需进一步思考解决。</w:t>
      </w:r>
    </w:p>
    <w:p>
      <w:pPr>
        <w:pStyle w:val="ListParagraph"/>
        <w:numPr>
          <w:ilvl w:val="1"/>
          <w:numId w:val="8"/>
        </w:numPr>
        <w:tabs>
          <w:tab w:pos="1062" w:val="left" w:leader="none"/>
        </w:tabs>
        <w:spacing w:line="312" w:lineRule="auto" w:before="3" w:after="0"/>
        <w:ind w:left="217" w:right="1141" w:firstLine="480"/>
        <w:jc w:val="both"/>
        <w:rPr>
          <w:sz w:val="24"/>
        </w:rPr>
      </w:pPr>
      <w:r>
        <w:rPr>
          <w:spacing w:val="-1"/>
          <w:sz w:val="24"/>
        </w:rPr>
        <w:t>价格性短缺 价格是产品价值的体现，是成本和供求关系的综合结果，原则上它可</w:t>
      </w:r>
      <w:r>
        <w:rPr>
          <w:spacing w:val="-6"/>
          <w:sz w:val="24"/>
        </w:rPr>
        <w:t>以通过市场的充分竞争达到均衡，即需求曲线 </w:t>
      </w:r>
      <w:r>
        <w:rPr>
          <w:rFonts w:ascii="Calibri" w:eastAsia="Calibri"/>
          <w:i/>
          <w:sz w:val="24"/>
        </w:rPr>
        <w:t>D</w:t>
      </w:r>
      <w:r>
        <w:rPr>
          <w:rFonts w:ascii="Calibri" w:eastAsia="Calibri"/>
          <w:i/>
          <w:spacing w:val="5"/>
          <w:sz w:val="24"/>
        </w:rPr>
        <w:t> </w:t>
      </w:r>
      <w:r>
        <w:rPr>
          <w:spacing w:val="-10"/>
          <w:sz w:val="24"/>
        </w:rPr>
        <w:t>和供给曲线 </w:t>
      </w:r>
      <w:r>
        <w:rPr>
          <w:rFonts w:ascii="Calibri" w:eastAsia="Calibri"/>
          <w:i/>
          <w:sz w:val="24"/>
        </w:rPr>
        <w:t>S</w:t>
      </w:r>
      <w:r>
        <w:rPr>
          <w:rFonts w:ascii="Calibri" w:eastAsia="Calibri"/>
          <w:i/>
          <w:spacing w:val="9"/>
          <w:sz w:val="24"/>
        </w:rPr>
        <w:t> </w:t>
      </w:r>
      <w:r>
        <w:rPr>
          <w:spacing w:val="-9"/>
          <w:sz w:val="24"/>
        </w:rPr>
        <w:t>相交于均衡点 </w:t>
      </w:r>
      <w:r>
        <w:rPr>
          <w:rFonts w:ascii="Calibri" w:eastAsia="Calibri"/>
          <w:i/>
          <w:spacing w:val="-14"/>
          <w:sz w:val="24"/>
        </w:rPr>
        <w:t>E</w:t>
      </w:r>
      <w:r>
        <w:rPr>
          <w:rFonts w:ascii="Calibri" w:eastAsia="Calibri"/>
          <w:spacing w:val="-14"/>
          <w:sz w:val="24"/>
          <w:vertAlign w:val="subscript"/>
        </w:rPr>
        <w:t>0</w:t>
      </w:r>
      <w:r>
        <w:rPr>
          <w:spacing w:val="-14"/>
          <w:sz w:val="24"/>
          <w:vertAlign w:val="baseline"/>
        </w:rPr>
        <w:t>（</w:t>
      </w:r>
      <w:r>
        <w:rPr>
          <w:rFonts w:ascii="Calibri" w:eastAsia="Calibri"/>
          <w:i/>
          <w:spacing w:val="-14"/>
          <w:sz w:val="24"/>
          <w:vertAlign w:val="baseline"/>
        </w:rPr>
        <w:t>P</w:t>
      </w:r>
      <w:r>
        <w:rPr>
          <w:rFonts w:ascii="Calibri" w:eastAsia="Calibri"/>
          <w:spacing w:val="-14"/>
          <w:sz w:val="24"/>
          <w:vertAlign w:val="subscript"/>
        </w:rPr>
        <w:t>0</w:t>
      </w:r>
      <w:r>
        <w:rPr>
          <w:spacing w:val="-14"/>
          <w:sz w:val="24"/>
          <w:vertAlign w:val="baseline"/>
        </w:rPr>
        <w:t>，</w:t>
      </w:r>
      <w:r>
        <w:rPr>
          <w:rFonts w:ascii="Calibri" w:eastAsia="Calibri"/>
          <w:i/>
          <w:spacing w:val="-14"/>
          <w:sz w:val="24"/>
          <w:vertAlign w:val="baseline"/>
        </w:rPr>
        <w:t>Q</w:t>
      </w:r>
      <w:r>
        <w:rPr>
          <w:rFonts w:ascii="Calibri" w:eastAsia="Calibri"/>
          <w:spacing w:val="-14"/>
          <w:sz w:val="24"/>
          <w:vertAlign w:val="subscript"/>
        </w:rPr>
        <w:t>0</w:t>
      </w:r>
      <w:r>
        <w:rPr>
          <w:spacing w:val="-14"/>
          <w:sz w:val="24"/>
          <w:vertAlign w:val="baseline"/>
        </w:rPr>
        <w:t>）</w:t>
      </w:r>
      <w:r>
        <w:rPr>
          <w:spacing w:val="-41"/>
          <w:sz w:val="24"/>
          <w:vertAlign w:val="baseline"/>
        </w:rPr>
        <w:t>。</w:t>
      </w:r>
    </w:p>
    <w:p>
      <w:pPr>
        <w:pStyle w:val="BodyText"/>
        <w:spacing w:line="312" w:lineRule="auto"/>
        <w:ind w:left="4005" w:right="1015" w:firstLine="420"/>
      </w:pPr>
      <w:r>
        <w:rPr/>
        <w:pict>
          <v:group style="position:absolute;margin-left:65.925842pt;margin-top:10.786527pt;width:175.15pt;height:142.8pt;mso-position-horizontal-relative:page;mso-position-vertical-relative:paragraph;z-index:5104" coordorigin="1319,216" coordsize="3503,2856">
            <v:shape style="position:absolute;left:3688;top:718;width:379;height:247" type="#_x0000_t75" stroked="false">
              <v:imagedata r:id="rId17" o:title=""/>
            </v:shape>
            <v:shape style="position:absolute;left:2820;top:2821;width:484;height:247" type="#_x0000_t75" stroked="false">
              <v:imagedata r:id="rId18" o:title=""/>
            </v:shape>
            <v:shape style="position:absolute;left:2317;top:2821;width:454;height:220" type="#_x0000_t75" stroked="false">
              <v:imagedata r:id="rId19" o:title=""/>
            </v:shape>
            <v:shape style="position:absolute;left:1318;top:1915;width:379;height:227" type="#_x0000_t75" stroked="false">
              <v:imagedata r:id="rId20" o:title=""/>
            </v:shape>
            <v:shape style="position:absolute;left:2491;top:1983;width:379;height:227" type="#_x0000_t75" stroked="false">
              <v:imagedata r:id="rId20" o:title=""/>
            </v:shape>
            <v:shape style="position:absolute;left:478;top:8404;width:1192;height:1060" coordorigin="479,8405" coordsize="1192,1060" path="m1666,2016l2522,2016m2539,2016l2539,2792e" filled="false" stroked="true" strokeweight=".549340pt" strokecolor="#000000">
              <v:path arrowok="t"/>
              <v:stroke dashstyle="shortdash"/>
            </v:shape>
            <v:shape style="position:absolute;left:1318;top:1574;width:379;height:247" type="#_x0000_t75" stroked="false">
              <v:imagedata r:id="rId17" o:title=""/>
            </v:shape>
            <v:shape style="position:absolute;left:3066;top:1558;width:379;height:268" type="#_x0000_t75" stroked="false">
              <v:imagedata r:id="rId21" o:title=""/>
            </v:shape>
            <v:shape style="position:absolute;left:466;top:7935;width:1906;height:1543" coordorigin="467,7935" coordsize="1906,1543" path="m1657,1672l3045,1672m3053,1686l3053,2801e" filled="false" stroked="true" strokeweight=".549340pt" strokecolor="#000000">
              <v:path arrowok="t"/>
              <v:stroke dashstyle="shortdash"/>
            </v:shape>
            <v:shape style="position:absolute;left:3868;top:2110;width:379;height:229" type="#_x0000_t75" stroked="false">
              <v:imagedata r:id="rId20" o:title=""/>
            </v:shape>
            <v:shape style="position:absolute;left:2091;top:895;width:1757;height:1431" type="#_x0000_t75" stroked="false">
              <v:imagedata r:id="rId22" o:title=""/>
            </v:shape>
            <v:shape style="position:absolute;left:2326;top:901;width:1627;height:1315" coordorigin="2326,901" coordsize="1627,1315" path="m3953,2216l3841,2171,3781,2144,3720,2113,3656,2079,3591,2042,3525,2002,3457,1960,3389,1915,3320,1868,3251,1819,3183,1769,3114,1717,3046,1663,2979,1609,2913,1553,2849,1497,2786,1440,2725,1382,2667,1325,2610,1267,2557,1210,2497,1142,2444,1076,2398,1014,2358,956,2326,901e" filled="false" stroked="true" strokeweight=".431337pt" strokecolor="#000000">
              <v:path arrowok="t"/>
              <v:stroke dashstyle="solid"/>
            </v:shape>
            <v:shape style="position:absolute;left:4443;top:2843;width:379;height:229" type="#_x0000_t75" stroked="false">
              <v:imagedata r:id="rId20" o:title=""/>
            </v:shape>
            <v:shape style="position:absolute;left:1452;top:2781;width:379;height:252" type="#_x0000_t75" stroked="false">
              <v:imagedata r:id="rId17" o:title=""/>
            </v:shape>
            <v:shape style="position:absolute;left:1657;top:2738;width:2977;height:120" coordorigin="1657,2739" coordsize="2977,120" path="m4604,2798l4524,2845,4522,2850,4526,2857,4531,2858,4621,2805,4619,2805,4619,2804,4615,2804,4604,2798xm4592,2791l1657,2791,1657,2805,4592,2805,4604,2798,4592,2791xm4621,2791l4619,2791,4619,2805,4621,2805,4633,2798,4621,2791xm4615,2792l4604,2798,4615,2804,4615,2792xm4619,2792l4615,2792,4615,2804,4619,2804,4619,2792xm4531,2739l4526,2740,4522,2747,4524,2751,4604,2798,4615,2792,4619,2792,4619,2791,4621,2791,4531,2739xe" filled="true" fillcolor="#000000" stroked="false">
              <v:path arrowok="t"/>
              <v:fill type="solid"/>
            </v:shape>
            <v:shape style="position:absolute;left:1336;top:215;width:322;height:247" type="#_x0000_t75" stroked="false">
              <v:imagedata r:id="rId23" o:title=""/>
            </v:shape>
            <v:shape style="position:absolute;left:1597;top:251;width:120;height:2547" coordorigin="1597,252" coordsize="120,2547" path="m1657,281l1650,293,1650,2798,1664,2798,1664,293,1657,281xm1657,252l1597,354,1599,358,1606,362,1610,361,1650,293,1650,266,1666,266,1657,252xm1666,266l1664,266,1664,293,1704,361,1709,362,1716,358,1717,354,1666,266xm1664,266l1650,266,1650,293,1657,281,1651,270,1664,270,1664,266xm1664,270l1663,270,1657,281,1664,293,1664,270xm1663,270l1651,270,1657,281,1663,270xe" filled="true" fillcolor="#000000" stroked="false">
              <v:path arrowok="t"/>
              <v:fill type="solid"/>
            </v:shape>
            <v:shape style="position:absolute;left:1441;top:233;width:118;height:195" type="#_x0000_t202" filled="false" stroked="false">
              <v:textbox inset="0,0,0,0">
                <w:txbxContent>
                  <w:p>
                    <w:pPr>
                      <w:spacing w:line="193" w:lineRule="exact" w:before="0"/>
                      <w:ind w:left="0" w:right="0" w:firstLine="0"/>
                      <w:jc w:val="left"/>
                      <w:rPr>
                        <w:rFonts w:ascii="Times New Roman"/>
                        <w:sz w:val="17"/>
                      </w:rPr>
                    </w:pPr>
                    <w:r>
                      <w:rPr>
                        <w:rFonts w:ascii="Times New Roman"/>
                        <w:w w:val="103"/>
                        <w:sz w:val="17"/>
                      </w:rPr>
                      <w:t>P</w:t>
                    </w:r>
                  </w:p>
                </w:txbxContent>
              </v:textbox>
              <w10:wrap type="none"/>
            </v:shape>
            <v:shape style="position:absolute;left:3794;top:736;width:118;height:195" type="#_x0000_t202" filled="false" stroked="false">
              <v:textbox inset="0,0,0,0">
                <w:txbxContent>
                  <w:p>
                    <w:pPr>
                      <w:spacing w:line="193" w:lineRule="exact" w:before="0"/>
                      <w:ind w:left="0" w:right="0" w:firstLine="0"/>
                      <w:jc w:val="left"/>
                      <w:rPr>
                        <w:rFonts w:ascii="Times New Roman"/>
                        <w:sz w:val="17"/>
                      </w:rPr>
                    </w:pPr>
                    <w:r>
                      <w:rPr>
                        <w:rFonts w:ascii="Times New Roman"/>
                        <w:w w:val="103"/>
                        <w:sz w:val="17"/>
                      </w:rPr>
                      <w:t>S</w:t>
                    </w:r>
                  </w:p>
                </w:txbxContent>
              </v:textbox>
              <w10:wrap type="none"/>
            </v:shape>
            <v:shape style="position:absolute;left:1424;top:1592;width:178;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P</w:t>
                    </w:r>
                    <w:r>
                      <w:rPr>
                        <w:rFonts w:ascii="Times New Roman"/>
                        <w:sz w:val="17"/>
                        <w:vertAlign w:val="subscript"/>
                      </w:rPr>
                      <w:t>0</w:t>
                    </w:r>
                  </w:p>
                </w:txbxContent>
              </v:textbox>
              <w10:wrap type="none"/>
            </v:shape>
            <v:shape style="position:absolute;left:3172;top:1576;width:187;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E</w:t>
                    </w:r>
                    <w:r>
                      <w:rPr>
                        <w:rFonts w:ascii="Times New Roman"/>
                        <w:sz w:val="17"/>
                        <w:vertAlign w:val="subscript"/>
                      </w:rPr>
                      <w:t>0</w:t>
                    </w:r>
                  </w:p>
                </w:txbxContent>
              </v:textbox>
              <w10:wrap type="none"/>
            </v:shape>
            <v:shape style="position:absolute;left:1424;top:1933;width:178;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P</w:t>
                    </w:r>
                    <w:r>
                      <w:rPr>
                        <w:rFonts w:ascii="Times New Roman"/>
                        <w:sz w:val="17"/>
                        <w:vertAlign w:val="subscript"/>
                      </w:rPr>
                      <w:t>1</w:t>
                    </w:r>
                  </w:p>
                </w:txbxContent>
              </v:textbox>
              <w10:wrap type="none"/>
            </v:shape>
            <v:shape style="position:absolute;left:2597;top:2002;width:187;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E</w:t>
                    </w:r>
                    <w:r>
                      <w:rPr>
                        <w:rFonts w:ascii="Times New Roman"/>
                        <w:sz w:val="17"/>
                        <w:vertAlign w:val="subscript"/>
                      </w:rPr>
                      <w:t>1</w:t>
                    </w:r>
                  </w:p>
                </w:txbxContent>
              </v:textbox>
              <w10:wrap type="none"/>
            </v:shape>
            <v:shape style="position:absolute;left:3974;top:2129;width:147;height:195" type="#_x0000_t202" filled="false" stroked="false">
              <v:textbox inset="0,0,0,0">
                <w:txbxContent>
                  <w:p>
                    <w:pPr>
                      <w:spacing w:line="193" w:lineRule="exact" w:before="0"/>
                      <w:ind w:left="0" w:right="0" w:firstLine="0"/>
                      <w:jc w:val="left"/>
                      <w:rPr>
                        <w:rFonts w:ascii="Times New Roman"/>
                        <w:sz w:val="17"/>
                      </w:rPr>
                    </w:pPr>
                    <w:r>
                      <w:rPr>
                        <w:rFonts w:ascii="Times New Roman"/>
                        <w:w w:val="103"/>
                        <w:sz w:val="17"/>
                      </w:rPr>
                      <w:t>D</w:t>
                    </w:r>
                  </w:p>
                </w:txbxContent>
              </v:textbox>
              <w10:wrap type="none"/>
            </v:shape>
            <v:shape style="position:absolute;left:1557;top:2800;width:108;height:195" type="#_x0000_t202" filled="false" stroked="false">
              <v:textbox inset="0,0,0,0">
                <w:txbxContent>
                  <w:p>
                    <w:pPr>
                      <w:spacing w:line="193" w:lineRule="exact" w:before="0"/>
                      <w:ind w:left="0" w:right="0" w:firstLine="0"/>
                      <w:jc w:val="left"/>
                      <w:rPr>
                        <w:rFonts w:ascii="Times New Roman"/>
                        <w:sz w:val="17"/>
                      </w:rPr>
                    </w:pPr>
                    <w:r>
                      <w:rPr>
                        <w:rFonts w:ascii="Times New Roman"/>
                        <w:w w:val="103"/>
                        <w:sz w:val="17"/>
                      </w:rPr>
                      <w:t>0</w:t>
                    </w:r>
                  </w:p>
                </w:txbxContent>
              </v:textbox>
              <w10:wrap type="none"/>
            </v:shape>
            <v:shape style="position:absolute;left:2423;top:2842;width:206;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Q</w:t>
                    </w:r>
                    <w:r>
                      <w:rPr>
                        <w:rFonts w:ascii="Times New Roman"/>
                        <w:sz w:val="17"/>
                        <w:vertAlign w:val="subscript"/>
                      </w:rPr>
                      <w:t>1</w:t>
                    </w:r>
                  </w:p>
                </w:txbxContent>
              </v:textbox>
              <w10:wrap type="none"/>
            </v:shape>
            <v:shape style="position:absolute;left:2926;top:2842;width:206;height:205" type="#_x0000_t202" filled="false" stroked="false">
              <v:textbox inset="0,0,0,0">
                <w:txbxContent>
                  <w:p>
                    <w:pPr>
                      <w:spacing w:line="193" w:lineRule="exact" w:before="0"/>
                      <w:ind w:left="0" w:right="0" w:firstLine="0"/>
                      <w:jc w:val="left"/>
                      <w:rPr>
                        <w:rFonts w:ascii="Times New Roman"/>
                        <w:sz w:val="17"/>
                      </w:rPr>
                    </w:pPr>
                    <w:r>
                      <w:rPr>
                        <w:rFonts w:ascii="Times New Roman"/>
                        <w:sz w:val="17"/>
                      </w:rPr>
                      <w:t>Q</w:t>
                    </w:r>
                    <w:r>
                      <w:rPr>
                        <w:rFonts w:ascii="Times New Roman"/>
                        <w:sz w:val="17"/>
                        <w:vertAlign w:val="subscript"/>
                      </w:rPr>
                      <w:t>0</w:t>
                    </w:r>
                  </w:p>
                </w:txbxContent>
              </v:textbox>
              <w10:wrap type="none"/>
            </v:shape>
            <v:shape style="position:absolute;left:4549;top:2863;width:148;height:195" type="#_x0000_t202" filled="false" stroked="false">
              <v:textbox inset="0,0,0,0">
                <w:txbxContent>
                  <w:p>
                    <w:pPr>
                      <w:spacing w:line="194" w:lineRule="exact" w:before="0"/>
                      <w:ind w:left="0" w:right="0" w:firstLine="0"/>
                      <w:jc w:val="left"/>
                      <w:rPr>
                        <w:rFonts w:ascii="Times New Roman"/>
                        <w:sz w:val="17"/>
                      </w:rPr>
                    </w:pPr>
                    <w:r>
                      <w:rPr>
                        <w:rFonts w:ascii="Times New Roman"/>
                        <w:w w:val="103"/>
                        <w:sz w:val="17"/>
                      </w:rPr>
                      <w:t>Q</w:t>
                    </w:r>
                  </w:p>
                </w:txbxContent>
              </v:textbox>
              <w10:wrap type="none"/>
            </v:shape>
            <w10:wrap type="none"/>
          </v:group>
        </w:pict>
      </w:r>
      <w:r>
        <w:rPr/>
        <w:t>而现实中由于临床用药政策或机制的影响，药品实</w:t>
      </w:r>
      <w:r>
        <w:rPr>
          <w:spacing w:val="-7"/>
        </w:rPr>
        <w:t>际供应价格会低于均衡价格，假设为 </w:t>
      </w:r>
      <w:r>
        <w:rPr>
          <w:rFonts w:ascii="Calibri" w:eastAsia="Calibri"/>
          <w:spacing w:val="-13"/>
        </w:rPr>
        <w:t>P</w:t>
      </w:r>
      <w:r>
        <w:rPr>
          <w:rFonts w:ascii="Calibri" w:eastAsia="Calibri"/>
          <w:spacing w:val="-13"/>
          <w:vertAlign w:val="subscript"/>
        </w:rPr>
        <w:t>1</w:t>
      </w:r>
      <w:r>
        <w:rPr>
          <w:spacing w:val="-4"/>
          <w:vertAlign w:val="baseline"/>
        </w:rPr>
        <w:t>，相对应药品供</w:t>
      </w:r>
      <w:r>
        <w:rPr>
          <w:spacing w:val="-16"/>
          <w:vertAlign w:val="baseline"/>
        </w:rPr>
        <w:t>应量则为 </w:t>
      </w:r>
      <w:r>
        <w:rPr>
          <w:rFonts w:ascii="Calibri" w:eastAsia="Calibri"/>
          <w:i/>
          <w:vertAlign w:val="baseline"/>
        </w:rPr>
        <w:t>Q</w:t>
      </w:r>
      <w:r>
        <w:rPr>
          <w:rFonts w:ascii="Calibri" w:eastAsia="Calibri"/>
          <w:vertAlign w:val="subscript"/>
        </w:rPr>
        <w:t>1</w:t>
      </w:r>
      <w:r>
        <w:rPr>
          <w:vertAlign w:val="baseline"/>
        </w:rPr>
        <w:t>（价格变动不会引起供需曲线位置变动</w:t>
      </w:r>
      <w:r>
        <w:rPr>
          <w:spacing w:val="-10"/>
          <w:vertAlign w:val="baseline"/>
        </w:rPr>
        <w:t>）， </w:t>
      </w:r>
      <w:r>
        <w:rPr>
          <w:spacing w:val="-5"/>
          <w:vertAlign w:val="baseline"/>
        </w:rPr>
        <w:t>而患者对药品为刚性需求，仍为 </w:t>
      </w:r>
      <w:r>
        <w:rPr>
          <w:rFonts w:ascii="Calibri" w:eastAsia="Calibri"/>
          <w:i/>
          <w:spacing w:val="-4"/>
          <w:vertAlign w:val="baseline"/>
        </w:rPr>
        <w:t>Q</w:t>
      </w:r>
      <w:r>
        <w:rPr>
          <w:rFonts w:ascii="Calibri" w:eastAsia="Calibri"/>
          <w:spacing w:val="-4"/>
          <w:vertAlign w:val="subscript"/>
        </w:rPr>
        <w:t>0</w:t>
      </w:r>
      <w:r>
        <w:rPr>
          <w:spacing w:val="-5"/>
          <w:vertAlign w:val="baseline"/>
        </w:rPr>
        <w:t>，存在</w:t>
      </w:r>
      <w:r>
        <w:rPr>
          <w:vertAlign w:val="baseline"/>
        </w:rPr>
        <w:t>（</w:t>
      </w:r>
      <w:r>
        <w:rPr>
          <w:rFonts w:ascii="Calibri" w:eastAsia="Calibri"/>
          <w:i/>
          <w:vertAlign w:val="baseline"/>
        </w:rPr>
        <w:t>Q</w:t>
      </w:r>
      <w:r>
        <w:rPr>
          <w:rFonts w:ascii="Calibri" w:eastAsia="Calibri"/>
          <w:vertAlign w:val="subscript"/>
        </w:rPr>
        <w:t>0</w:t>
      </w:r>
      <w:r>
        <w:rPr>
          <w:rFonts w:ascii="Calibri" w:eastAsia="Calibri"/>
          <w:spacing w:val="-6"/>
          <w:vertAlign w:val="baseline"/>
        </w:rPr>
        <w:t> - </w:t>
      </w:r>
      <w:r>
        <w:rPr>
          <w:rFonts w:ascii="Calibri" w:eastAsia="Calibri"/>
          <w:i/>
          <w:spacing w:val="-4"/>
          <w:vertAlign w:val="baseline"/>
        </w:rPr>
        <w:t>Q</w:t>
      </w:r>
      <w:r>
        <w:rPr>
          <w:rFonts w:ascii="Calibri" w:eastAsia="Calibri"/>
          <w:spacing w:val="-4"/>
          <w:vertAlign w:val="subscript"/>
        </w:rPr>
        <w:t>1</w:t>
      </w:r>
      <w:r>
        <w:rPr>
          <w:spacing w:val="-4"/>
          <w:vertAlign w:val="baseline"/>
        </w:rPr>
        <w:t>）</w:t>
      </w:r>
      <w:r>
        <w:rPr>
          <w:spacing w:val="-10"/>
          <w:vertAlign w:val="baseline"/>
        </w:rPr>
        <w:t>的</w:t>
      </w:r>
      <w:r>
        <w:rPr>
          <w:vertAlign w:val="baseline"/>
        </w:rPr>
        <w:t>短缺量，出现药品短缺问题（</w:t>
      </w:r>
      <w:r>
        <w:rPr>
          <w:spacing w:val="-30"/>
          <w:vertAlign w:val="baseline"/>
        </w:rPr>
        <w:t>图 </w:t>
      </w:r>
      <w:r>
        <w:rPr>
          <w:rFonts w:ascii="Calibri" w:eastAsia="Calibri"/>
          <w:vertAlign w:val="baseline"/>
        </w:rPr>
        <w:t>3</w:t>
      </w:r>
      <w:r>
        <w:rPr>
          <w:vertAlign w:val="baseline"/>
        </w:rPr>
        <w:t>）。引起药品实际供应价格低于均衡价格的原因包括招标采购机制不完善 和药品二次议价。</w:t>
      </w:r>
    </w:p>
    <w:p>
      <w:pPr>
        <w:spacing w:before="41"/>
        <w:ind w:left="4005" w:right="0" w:firstLine="0"/>
        <w:jc w:val="left"/>
        <w:rPr>
          <w:rFonts w:ascii="华文楷体" w:eastAsia="华文楷体" w:hint="eastAsia"/>
          <w:sz w:val="18"/>
        </w:rPr>
      </w:pPr>
      <w:r>
        <w:rPr>
          <w:rFonts w:ascii="华文楷体" w:eastAsia="华文楷体" w:hint="eastAsia"/>
          <w:sz w:val="18"/>
        </w:rPr>
        <w:t>图 3 药品供需曲线图（价格性短缺）</w:t>
      </w:r>
    </w:p>
    <w:p>
      <w:pPr>
        <w:pStyle w:val="BodyText"/>
        <w:spacing w:before="6"/>
        <w:ind w:left="0"/>
        <w:rPr>
          <w:rFonts w:ascii="华文楷体"/>
          <w:sz w:val="28"/>
        </w:rPr>
      </w:pPr>
    </w:p>
    <w:p>
      <w:pPr>
        <w:pStyle w:val="ListParagraph"/>
        <w:numPr>
          <w:ilvl w:val="2"/>
          <w:numId w:val="8"/>
        </w:numPr>
        <w:tabs>
          <w:tab w:pos="1233" w:val="left" w:leader="none"/>
          <w:tab w:pos="6035" w:val="left" w:leader="none"/>
        </w:tabs>
        <w:spacing w:line="312" w:lineRule="auto" w:before="0" w:after="0"/>
        <w:ind w:left="217" w:right="1127" w:firstLine="468"/>
        <w:jc w:val="left"/>
        <w:rPr>
          <w:sz w:val="24"/>
        </w:rPr>
      </w:pPr>
      <w:r>
        <w:rPr>
          <w:sz w:val="24"/>
        </w:rPr>
        <w:t>招标采购活动开展不规律，采购机制不完善</w:t>
        <w:tab/>
        <w:t>医疗机构作为</w:t>
      </w:r>
      <w:r>
        <w:rPr>
          <w:spacing w:val="-3"/>
          <w:sz w:val="24"/>
        </w:rPr>
        <w:t>我</w:t>
      </w:r>
      <w:r>
        <w:rPr>
          <w:sz w:val="24"/>
        </w:rPr>
        <w:t>国药品销售的主要渠道</w:t>
      </w:r>
      <w:r>
        <w:rPr>
          <w:spacing w:val="-34"/>
          <w:sz w:val="24"/>
        </w:rPr>
        <w:t>，</w:t>
      </w:r>
      <w:r>
        <w:rPr>
          <w:sz w:val="24"/>
        </w:rPr>
        <w:t>其招标采购活动对企业影响较大</w:t>
      </w:r>
      <w:r>
        <w:rPr>
          <w:spacing w:val="-34"/>
          <w:sz w:val="24"/>
        </w:rPr>
        <w:t>。</w:t>
      </w:r>
      <w:r>
        <w:rPr>
          <w:sz w:val="24"/>
        </w:rPr>
        <w:t>理论上药品招标采购标期为两年</w:t>
      </w:r>
      <w:r>
        <w:rPr>
          <w:spacing w:val="-34"/>
          <w:sz w:val="24"/>
        </w:rPr>
        <w:t>，</w:t>
      </w:r>
      <w:r>
        <w:rPr>
          <w:sz w:val="24"/>
        </w:rPr>
        <w:t>到期后需要重</w:t>
      </w:r>
      <w:r>
        <w:rPr>
          <w:spacing w:val="-16"/>
          <w:sz w:val="24"/>
        </w:rPr>
        <w:t>新</w:t>
      </w:r>
      <w:r>
        <w:rPr>
          <w:sz w:val="24"/>
        </w:rPr>
        <w:t>招标议价。但从现实情况看并非如此。以江苏省为例，其最新一轮的招标采购活动开展于</w:t>
      </w:r>
    </w:p>
    <w:p>
      <w:pPr>
        <w:pStyle w:val="BodyText"/>
        <w:spacing w:line="312" w:lineRule="auto" w:before="2"/>
        <w:ind w:right="1129"/>
        <w:jc w:val="both"/>
      </w:pPr>
      <w:r>
        <w:rPr>
          <w:rFonts w:ascii="Calibri" w:eastAsia="Calibri"/>
        </w:rPr>
        <w:t>2015 </w:t>
      </w:r>
      <w:r>
        <w:rPr>
          <w:spacing w:val="-14"/>
        </w:rPr>
        <w:t>年，而上次是 </w:t>
      </w:r>
      <w:r>
        <w:rPr>
          <w:rFonts w:ascii="Calibri" w:eastAsia="Calibri"/>
        </w:rPr>
        <w:t>2009 </w:t>
      </w:r>
      <w:r>
        <w:rPr>
          <w:spacing w:val="-7"/>
        </w:rPr>
        <w:t>年，在没有开展新一轮招标采购活动时，企业只能延续旧的中标价</w:t>
      </w:r>
      <w:r>
        <w:rPr>
          <w:spacing w:val="-12"/>
        </w:rPr>
        <w:t>格供应药品。然而，市场上药品的生产成本已发生上涨变化，药品价格中标价长时间维持不</w:t>
      </w:r>
      <w:r>
        <w:rPr/>
        <w:t>变会压缩企业利润空间，甚至出现负利润，影响药品生产供应。</w:t>
      </w:r>
    </w:p>
    <w:p>
      <w:pPr>
        <w:pStyle w:val="BodyText"/>
        <w:spacing w:line="312" w:lineRule="auto"/>
        <w:ind w:right="1127" w:firstLine="420"/>
        <w:jc w:val="both"/>
      </w:pPr>
      <w:r>
        <w:rPr>
          <w:spacing w:val="-5"/>
        </w:rPr>
        <w:t>而医药行业存在的“买鱼送葱”、捆绑销售现象</w:t>
      </w:r>
      <w:r>
        <w:rPr/>
        <w:t>（</w:t>
      </w:r>
      <w:r>
        <w:rPr>
          <w:spacing w:val="-1"/>
        </w:rPr>
        <w:t>同一企业的盈利性药品与低利润或负</w:t>
      </w:r>
      <w:r>
        <w:rPr>
          <w:spacing w:val="-7"/>
        </w:rPr>
        <w:t>利润药品同时进入医疗机构招标采购目录，可在一定程度上补偿企业负利润药品供应产生的亏损，而一旦盈利药品没有进入采购目录，低利润或负利润药品也会停止供应</w:t>
      </w:r>
      <w:r>
        <w:rPr>
          <w:spacing w:val="-27"/>
        </w:rPr>
        <w:t>），</w:t>
      </w:r>
      <w:r>
        <w:rPr/>
        <w:t>增加了价格低廉药品供应的危险性和不确定性，这也是药品招标采购机制不完善的体现。</w:t>
      </w:r>
    </w:p>
    <w:p>
      <w:pPr>
        <w:pStyle w:val="ListParagraph"/>
        <w:numPr>
          <w:ilvl w:val="2"/>
          <w:numId w:val="8"/>
        </w:numPr>
        <w:tabs>
          <w:tab w:pos="1245" w:val="left" w:leader="none"/>
        </w:tabs>
        <w:spacing w:line="312" w:lineRule="auto" w:before="3" w:after="0"/>
        <w:ind w:left="217" w:right="1127" w:firstLine="480"/>
        <w:jc w:val="both"/>
        <w:rPr>
          <w:sz w:val="24"/>
        </w:rPr>
      </w:pPr>
      <w:r>
        <w:rPr>
          <w:spacing w:val="-1"/>
          <w:sz w:val="24"/>
        </w:rPr>
        <w:t>二次议价压缩企业利润空间 药品二次议价是指在省级药品集中采购平台公开招</w:t>
      </w:r>
      <w:r>
        <w:rPr>
          <w:spacing w:val="-11"/>
          <w:sz w:val="24"/>
        </w:rPr>
        <w:t>标采购之后，医疗机构在实际采购药品时再次与企业谈判压价的现象。通常医疗机构多以医</w:t>
      </w:r>
      <w:r>
        <w:rPr>
          <w:spacing w:val="-7"/>
          <w:sz w:val="24"/>
        </w:rPr>
        <w:t>联体的形式与企业进行谈判，一些市甚至由市级药品集中采购工作领导小组牵头，组织本市</w:t>
      </w:r>
    </w:p>
    <w:p>
      <w:pPr>
        <w:spacing w:after="0" w:line="312" w:lineRule="auto"/>
        <w:jc w:val="both"/>
        <w:rPr>
          <w:sz w:val="24"/>
        </w:rPr>
        <w:sectPr>
          <w:pgSz w:w="11910" w:h="16850"/>
          <w:pgMar w:header="906" w:footer="607" w:top="1100" w:bottom="800" w:left="1060" w:right="0"/>
        </w:sectPr>
      </w:pPr>
    </w:p>
    <w:p>
      <w:pPr>
        <w:pStyle w:val="BodyText"/>
        <w:spacing w:line="312" w:lineRule="auto" w:before="79"/>
        <w:ind w:right="1009"/>
      </w:pPr>
      <w:r>
        <w:rPr>
          <w:spacing w:val="-11"/>
        </w:rPr>
        <w:t>的公立医疗机构共同与企业进行议价谈判。对医疗机构来说，可以降低药品的实际采购价格， </w:t>
      </w:r>
      <w:r>
        <w:rPr>
          <w:spacing w:val="-2"/>
        </w:rPr>
        <w:t>但会再度压缩企业的利润空间，最终可能导致企业药品供给动力下降。如 </w:t>
      </w:r>
      <w:r>
        <w:rPr>
          <w:rFonts w:ascii="Calibri" w:eastAsia="Calibri"/>
        </w:rPr>
        <w:t>2016 </w:t>
      </w:r>
      <w:r>
        <w:rPr/>
        <w:t>年宁波中成</w:t>
      </w:r>
    </w:p>
    <w:p>
      <w:pPr>
        <w:pStyle w:val="BodyText"/>
        <w:spacing w:line="312" w:lineRule="auto"/>
        <w:ind w:right="1187"/>
      </w:pPr>
      <w:r>
        <w:rPr>
          <w:spacing w:val="-4"/>
        </w:rPr>
        <w:t>药“二次议价”，招标目录涉及的 </w:t>
      </w:r>
      <w:r>
        <w:rPr>
          <w:rFonts w:ascii="Calibri" w:hAnsi="Calibri" w:eastAsia="Calibri"/>
        </w:rPr>
        <w:t>1262 </w:t>
      </w:r>
      <w:r>
        <w:rPr>
          <w:spacing w:val="-11"/>
        </w:rPr>
        <w:t>个品种中仅有 </w:t>
      </w:r>
      <w:r>
        <w:rPr>
          <w:rFonts w:ascii="Calibri" w:hAnsi="Calibri" w:eastAsia="Calibri"/>
        </w:rPr>
        <w:t>244 </w:t>
      </w:r>
      <w:r>
        <w:rPr/>
        <w:t>个品种（</w:t>
      </w:r>
      <w:r>
        <w:rPr>
          <w:rFonts w:ascii="Calibri" w:hAnsi="Calibri" w:eastAsia="Calibri"/>
        </w:rPr>
        <w:t>337 </w:t>
      </w:r>
      <w:r>
        <w:rPr/>
        <w:t>个品规）中标，中</w:t>
      </w:r>
      <w:r>
        <w:rPr>
          <w:spacing w:val="-13"/>
        </w:rPr>
        <w:t>标率不足 </w:t>
      </w:r>
      <w:r>
        <w:rPr>
          <w:rFonts w:ascii="Calibri" w:hAnsi="Calibri" w:eastAsia="Calibri"/>
        </w:rPr>
        <w:t>20%</w:t>
      </w:r>
      <w:r>
        <w:rPr/>
        <w:t>。</w:t>
      </w:r>
    </w:p>
    <w:p>
      <w:pPr>
        <w:pStyle w:val="BodyText"/>
        <w:spacing w:line="312" w:lineRule="auto"/>
        <w:ind w:right="1020" w:firstLine="420"/>
      </w:pPr>
      <w:r>
        <w:rPr>
          <w:spacing w:val="-2"/>
        </w:rPr>
        <w:t>综上，药品价格有省级集中招标采购的规模效应降价，有公立医疗机构“二次议价”， </w:t>
      </w:r>
      <w:r>
        <w:rPr>
          <w:spacing w:val="-6"/>
        </w:rPr>
        <w:t>再加上全国最低价联动的做法，大多数药品的价格只能是下降，一旦降到了成本线之下，企业将无法维持简单再生产，这对企业可持续发展是一个巨大冲击。</w:t>
      </w:r>
    </w:p>
    <w:p>
      <w:pPr>
        <w:pStyle w:val="ListParagraph"/>
        <w:numPr>
          <w:ilvl w:val="1"/>
          <w:numId w:val="8"/>
        </w:numPr>
        <w:tabs>
          <w:tab w:pos="1062" w:val="left" w:leader="none"/>
        </w:tabs>
        <w:spacing w:line="240" w:lineRule="auto" w:before="0" w:after="0"/>
        <w:ind w:left="1062" w:right="0" w:hanging="365"/>
        <w:jc w:val="left"/>
        <w:rPr>
          <w:sz w:val="24"/>
        </w:rPr>
      </w:pPr>
      <w:r>
        <w:rPr>
          <w:sz w:val="24"/>
        </w:rPr>
        <w:t>数量性短缺</w:t>
      </w:r>
    </w:p>
    <w:p>
      <w:pPr>
        <w:pStyle w:val="BodyText"/>
        <w:spacing w:line="312" w:lineRule="auto" w:before="94"/>
        <w:ind w:right="1127" w:firstLine="480"/>
        <w:jc w:val="both"/>
      </w:pPr>
      <w:r>
        <w:rPr>
          <w:spacing w:val="-6"/>
        </w:rPr>
        <w:t>药品成本是由固定成本和可变成本两部分组成，其中，固定成本可以分摊至单个数量的</w:t>
      </w:r>
      <w:r>
        <w:rPr>
          <w:spacing w:val="-12"/>
        </w:rPr>
        <w:t>药品上，随着药品销售量增大逐渐摊薄。在成本和供需关系共同决定了价格大致的变动区间</w:t>
      </w:r>
      <w:r>
        <w:rPr/>
        <w:t>后，医药市场上正常的药品销售规律是量大而低价。</w:t>
      </w:r>
    </w:p>
    <w:p>
      <w:pPr>
        <w:pStyle w:val="BodyText"/>
        <w:spacing w:line="312" w:lineRule="auto" w:before="1"/>
        <w:ind w:right="1130" w:firstLine="480"/>
        <w:jc w:val="both"/>
      </w:pPr>
      <w:r>
        <w:rPr>
          <w:rFonts w:ascii="Calibri" w:eastAsia="Calibri"/>
        </w:rPr>
        <w:t>2015 </w:t>
      </w:r>
      <w:r>
        <w:rPr>
          <w:spacing w:val="-1"/>
        </w:rPr>
        <w:t>年国务院办公厅出台了《关于完善公立医院药品集中采购工作的指导意见》</w:t>
      </w:r>
      <w:r>
        <w:rPr/>
        <w:t>（以下简称意见</w:t>
      </w:r>
      <w:r>
        <w:rPr>
          <w:spacing w:val="-22"/>
        </w:rPr>
        <w:t>），</w:t>
      </w:r>
      <w:r>
        <w:rPr>
          <w:spacing w:val="-5"/>
        </w:rPr>
        <w:t>意见提出药品采购采用招采合一、量价挂钩模式。在此模式下，医疗机构化</w:t>
      </w:r>
      <w:r>
        <w:rPr>
          <w:spacing w:val="-9"/>
        </w:rPr>
        <w:t>数量需求为优势，谋求价格上的优惠。对中标企业而言，在确保市场份额的情况下，根据所要供应的品种数量，组织批量生产与规模销售，可降低生产经营成本，增加收益。该模式有</w:t>
      </w:r>
      <w:r>
        <w:rPr/>
        <w:t>利于降低药企生产成本，也为药品采购方赢得降价空间，达到双赢。</w:t>
      </w:r>
    </w:p>
    <w:p>
      <w:pPr>
        <w:pStyle w:val="BodyText"/>
        <w:spacing w:line="312" w:lineRule="auto" w:before="1"/>
        <w:ind w:right="1014" w:firstLine="480"/>
      </w:pPr>
      <w:r>
        <w:rPr>
          <w:spacing w:val="-9"/>
        </w:rPr>
        <w:t>随后，多省药品集中采购均提出“量价挂钩、以价换量”。但随着政策的施行，公立医</w:t>
      </w:r>
      <w:r>
        <w:rPr>
          <w:spacing w:val="-13"/>
        </w:rPr>
        <w:t>疗机构可在省级采购平台上自行采购，这就造成在一些地方摒弃了“量大才能价低”的实质</w:t>
      </w:r>
      <w:r>
        <w:rPr>
          <w:spacing w:val="-14"/>
        </w:rPr>
        <w:t>内涵，利用医疗机构的垄断性优势，在采购量比省级集中采购小的情况下，以“二次议价” </w:t>
      </w:r>
      <w:r>
        <w:rPr>
          <w:spacing w:val="-8"/>
        </w:rPr>
        <w:t>谈判得到较低的价格，从而出现了“量小反而低价”的情况。违背了“量大低价”或“量小高价”的科学规律，双赢局面打破，企业利润得不到保障。</w:t>
      </w:r>
    </w:p>
    <w:p>
      <w:pPr>
        <w:pStyle w:val="BodyText"/>
        <w:spacing w:line="312" w:lineRule="auto" w:before="3"/>
        <w:ind w:right="1127" w:firstLine="480"/>
        <w:jc w:val="both"/>
      </w:pPr>
      <w:r>
        <w:rPr>
          <w:spacing w:val="-10"/>
        </w:rPr>
        <w:t>除此之外，一些特殊品种，包括急抢救类药品、罕见病药品，以及具有季节性特征的药品，其具有发病人群少、需求量小、用量不确定等特点，不能集中规模生产，再加上价格不</w:t>
      </w:r>
      <w:r>
        <w:rPr>
          <w:spacing w:val="-14"/>
        </w:rPr>
        <w:t>占优势，企业往往不愿意生产经营，如用于有机农药中毒的氯解磷定需求具有季节性且用量</w:t>
      </w:r>
      <w:r>
        <w:rPr/>
        <w:t>少，增加了短缺风险。</w:t>
      </w:r>
    </w:p>
    <w:p>
      <w:pPr>
        <w:pStyle w:val="Heading3"/>
        <w:numPr>
          <w:ilvl w:val="0"/>
          <w:numId w:val="6"/>
        </w:numPr>
        <w:tabs>
          <w:tab w:pos="885" w:val="left" w:leader="none"/>
        </w:tabs>
        <w:spacing w:line="240" w:lineRule="auto" w:before="0" w:after="0"/>
        <w:ind w:left="884" w:right="0" w:hanging="187"/>
        <w:jc w:val="left"/>
        <w:rPr>
          <w:rFonts w:ascii="Calibri" w:eastAsia="Calibri"/>
          <w:sz w:val="22"/>
        </w:rPr>
      </w:pPr>
      <w:r>
        <w:rPr>
          <w:rFonts w:ascii="宋体" w:eastAsia="宋体" w:hint="eastAsia"/>
        </w:rPr>
        <w:t>解决药品短缺问题的相关建议</w:t>
      </w:r>
    </w:p>
    <w:p>
      <w:pPr>
        <w:pStyle w:val="BodyText"/>
        <w:spacing w:line="312" w:lineRule="auto" w:before="93"/>
        <w:ind w:right="1127" w:firstLine="480"/>
        <w:jc w:val="both"/>
      </w:pPr>
      <w:r>
        <w:rPr>
          <w:spacing w:val="-10"/>
        </w:rPr>
        <w:t>从成本、价格和数量短缺三方面来看，导致药品短缺的因素复杂且众多，解决短缺问题</w:t>
      </w:r>
      <w:r>
        <w:rPr/>
        <w:t>需从关键环节着手。</w:t>
      </w:r>
    </w:p>
    <w:p>
      <w:pPr>
        <w:pStyle w:val="ListParagraph"/>
        <w:numPr>
          <w:ilvl w:val="1"/>
          <w:numId w:val="6"/>
        </w:numPr>
        <w:tabs>
          <w:tab w:pos="1062" w:val="left" w:leader="none"/>
        </w:tabs>
        <w:spacing w:line="312" w:lineRule="auto" w:before="0" w:after="0"/>
        <w:ind w:left="217" w:right="1127" w:firstLine="480"/>
        <w:jc w:val="both"/>
        <w:rPr>
          <w:sz w:val="24"/>
        </w:rPr>
      </w:pPr>
      <w:r>
        <w:rPr>
          <w:sz w:val="24"/>
        </w:rPr>
        <w:t>遵循市场规律，建立合理的药品价格形成机制 药品合理定价是解决短缺问题的核</w:t>
      </w:r>
      <w:r>
        <w:rPr>
          <w:spacing w:val="-11"/>
          <w:sz w:val="24"/>
        </w:rPr>
        <w:t>心任务之一。尽管当前已放开政府定价，但药品集中招标采购与二次议价仍是强有力的药品</w:t>
      </w:r>
      <w:r>
        <w:rPr>
          <w:spacing w:val="-8"/>
          <w:sz w:val="24"/>
        </w:rPr>
        <w:t>价格控制方式，药价不能随市场供求关系及时变动。其实，对于多数药品来说，由于市场竞</w:t>
      </w:r>
      <w:r>
        <w:rPr>
          <w:spacing w:val="-10"/>
          <w:sz w:val="24"/>
        </w:rPr>
        <w:t>争较为完全，可以充分发挥市场这只看不见的手的作用，让市场来决定药品价格。但这并不</w:t>
      </w:r>
      <w:r>
        <w:rPr>
          <w:spacing w:val="-8"/>
          <w:sz w:val="24"/>
        </w:rPr>
        <w:t>意味着全部由市场决定，对于一些短缺较为严重、关系公众生命健康的常用价格低廉药，需</w:t>
      </w:r>
      <w:r>
        <w:rPr>
          <w:spacing w:val="-7"/>
          <w:sz w:val="24"/>
        </w:rPr>
        <w:t>要政府建立科学的成本评估方法，在遵循市场供需规律、给予企业合理利润空间的同时，通</w:t>
      </w:r>
      <w:r>
        <w:rPr>
          <w:sz w:val="24"/>
        </w:rPr>
        <w:t>过合理定价保障患者利益。</w:t>
      </w:r>
    </w:p>
    <w:p>
      <w:pPr>
        <w:spacing w:after="0" w:line="312" w:lineRule="auto"/>
        <w:jc w:val="both"/>
        <w:rPr>
          <w:sz w:val="24"/>
        </w:rPr>
        <w:sectPr>
          <w:pgSz w:w="11910" w:h="16850"/>
          <w:pgMar w:header="906" w:footer="607" w:top="1100" w:bottom="800" w:left="1060" w:right="0"/>
        </w:sectPr>
      </w:pPr>
    </w:p>
    <w:p>
      <w:pPr>
        <w:pStyle w:val="ListParagraph"/>
        <w:numPr>
          <w:ilvl w:val="1"/>
          <w:numId w:val="6"/>
        </w:numPr>
        <w:tabs>
          <w:tab w:pos="1062" w:val="left" w:leader="none"/>
          <w:tab w:pos="6474" w:val="left" w:leader="none"/>
        </w:tabs>
        <w:spacing w:line="312" w:lineRule="auto" w:before="79" w:after="0"/>
        <w:ind w:left="217" w:right="1009" w:firstLine="480"/>
        <w:jc w:val="left"/>
        <w:rPr>
          <w:sz w:val="24"/>
        </w:rPr>
      </w:pPr>
      <w:r>
        <w:rPr>
          <w:sz w:val="24"/>
        </w:rPr>
        <w:t>优化市场环境</w:t>
      </w:r>
      <w:r>
        <w:rPr>
          <w:spacing w:val="-108"/>
          <w:sz w:val="24"/>
        </w:rPr>
        <w:t>，</w:t>
      </w:r>
      <w:r>
        <w:rPr>
          <w:sz w:val="24"/>
        </w:rPr>
        <w:t>打击原料药经营企业恶性涨价行为</w:t>
        <w:tab/>
        <w:t>针对原料药恶性垄断涨价行为</w:t>
      </w:r>
      <w:r>
        <w:rPr>
          <w:spacing w:val="-17"/>
          <w:sz w:val="24"/>
        </w:rPr>
        <w:t>， </w:t>
      </w:r>
      <w:r>
        <w:rPr>
          <w:sz w:val="24"/>
        </w:rPr>
        <w:t>要加强原料药市场监管</w:t>
      </w:r>
      <w:r>
        <w:rPr>
          <w:spacing w:val="-27"/>
          <w:sz w:val="24"/>
        </w:rPr>
        <w:t>，</w:t>
      </w:r>
      <w:r>
        <w:rPr>
          <w:sz w:val="24"/>
        </w:rPr>
        <w:t>遵循国家制定</w:t>
      </w:r>
      <w:r>
        <w:rPr>
          <w:spacing w:val="-27"/>
          <w:sz w:val="24"/>
        </w:rPr>
        <w:t>的</w:t>
      </w:r>
      <w:r>
        <w:rPr>
          <w:sz w:val="24"/>
        </w:rPr>
        <w:t>《短缺药品和原料药经营者价格行为指南</w:t>
      </w:r>
      <w:r>
        <w:rPr>
          <w:spacing w:val="-27"/>
          <w:sz w:val="24"/>
        </w:rPr>
        <w:t>》，</w:t>
      </w:r>
      <w:r>
        <w:rPr>
          <w:sz w:val="24"/>
        </w:rPr>
        <w:t>依法查处哄抬价格和垄断等各类违法违规行为</w:t>
      </w:r>
      <w:r>
        <w:rPr>
          <w:spacing w:val="-51"/>
          <w:sz w:val="24"/>
        </w:rPr>
        <w:t>。</w:t>
      </w:r>
      <w:r>
        <w:rPr>
          <w:sz w:val="24"/>
        </w:rPr>
        <w:t>对与屡查屡犯的原料药垄断案件相关经营者</w:t>
      </w:r>
      <w:r>
        <w:rPr>
          <w:spacing w:val="-51"/>
          <w:sz w:val="24"/>
        </w:rPr>
        <w:t>，</w:t>
      </w:r>
      <w:r>
        <w:rPr>
          <w:sz w:val="24"/>
        </w:rPr>
        <w:t>可建立失信经营者黑名单制度，制定禁止其从事医药行业相关经营活动的措施。</w:t>
      </w:r>
    </w:p>
    <w:p>
      <w:pPr>
        <w:pStyle w:val="ListParagraph"/>
        <w:numPr>
          <w:ilvl w:val="1"/>
          <w:numId w:val="6"/>
        </w:numPr>
        <w:tabs>
          <w:tab w:pos="1062" w:val="left" w:leader="none"/>
        </w:tabs>
        <w:spacing w:line="312" w:lineRule="auto" w:before="0" w:after="0"/>
        <w:ind w:left="217" w:right="1127" w:firstLine="480"/>
        <w:jc w:val="both"/>
        <w:rPr>
          <w:sz w:val="24"/>
        </w:rPr>
      </w:pPr>
      <w:r>
        <w:rPr>
          <w:sz w:val="24"/>
        </w:rPr>
        <w:t>以保障药品供应为核心，适度增加政策弹性 对于包括新版药典、仿制药一致性评</w:t>
      </w:r>
      <w:r>
        <w:rPr>
          <w:spacing w:val="-7"/>
          <w:sz w:val="24"/>
        </w:rPr>
        <w:t>价与两票制在内的统适性政策标准，在实际推行过程中，针对一些短缺严重的特殊品种可适</w:t>
      </w:r>
      <w:r>
        <w:rPr>
          <w:spacing w:val="-10"/>
          <w:sz w:val="24"/>
        </w:rPr>
        <w:t>当降低政策标准，如新版药典可对临床必需、急需，无替代性产品等特性的短缺药品暂时性降低质量标准，以满足临床使用为前提，循序渐进整改；放宽短缺药品一致性评价的时间限制，在不影响疗效和患者健康的基础上，给予更多的一致性评价时间；针对偏远地区的用药</w:t>
      </w:r>
      <w:r>
        <w:rPr>
          <w:spacing w:val="-12"/>
          <w:sz w:val="24"/>
        </w:rPr>
        <w:t>需求，可以在执行“两票制”的基础上，灵活处理，确保为乡镇卫生院或村级医疗卫生机构</w:t>
      </w:r>
      <w:r>
        <w:rPr>
          <w:sz w:val="24"/>
        </w:rPr>
        <w:t>配送。通过预防管理标准一刀切，适度增加政策弹性，保障药品的及时、充足供应。</w:t>
      </w:r>
    </w:p>
    <w:p>
      <w:pPr>
        <w:pStyle w:val="ListParagraph"/>
        <w:numPr>
          <w:ilvl w:val="1"/>
          <w:numId w:val="6"/>
        </w:numPr>
        <w:tabs>
          <w:tab w:pos="1062" w:val="left" w:leader="none"/>
          <w:tab w:pos="7782" w:val="left" w:leader="none"/>
        </w:tabs>
        <w:spacing w:line="312" w:lineRule="auto" w:before="3" w:after="0"/>
        <w:ind w:left="217" w:right="1014" w:firstLine="480"/>
        <w:jc w:val="left"/>
        <w:rPr>
          <w:sz w:val="24"/>
        </w:rPr>
      </w:pPr>
      <w:r>
        <w:rPr>
          <w:sz w:val="24"/>
        </w:rPr>
        <w:t>研发、生产与储备相结合，满足临床必需、用量小类药品需求</w:t>
        <w:tab/>
        <w:t>急抢救类药品和小品种药品具有临床必需</w:t>
      </w:r>
      <w:r>
        <w:rPr>
          <w:spacing w:val="-27"/>
          <w:sz w:val="24"/>
        </w:rPr>
        <w:t>、</w:t>
      </w:r>
      <w:r>
        <w:rPr>
          <w:sz w:val="24"/>
        </w:rPr>
        <w:t>用量小等特点</w:t>
      </w:r>
      <w:r>
        <w:rPr>
          <w:spacing w:val="-27"/>
          <w:sz w:val="24"/>
        </w:rPr>
        <w:t>，</w:t>
      </w:r>
      <w:r>
        <w:rPr>
          <w:sz w:val="24"/>
        </w:rPr>
        <w:t>可从研发</w:t>
      </w:r>
      <w:r>
        <w:rPr>
          <w:spacing w:val="-27"/>
          <w:sz w:val="24"/>
        </w:rPr>
        <w:t>、</w:t>
      </w:r>
      <w:r>
        <w:rPr>
          <w:sz w:val="24"/>
        </w:rPr>
        <w:t>生产和储备多角度出发</w:t>
      </w:r>
      <w:r>
        <w:rPr>
          <w:spacing w:val="-27"/>
          <w:sz w:val="24"/>
        </w:rPr>
        <w:t>，</w:t>
      </w:r>
      <w:r>
        <w:rPr>
          <w:sz w:val="24"/>
        </w:rPr>
        <w:t>提出针对性解决措施。首先，针对小品种如罕见病用药，可对其研发、生产过程制定一系列鼓励性政策</w:t>
      </w:r>
      <w:r>
        <w:rPr>
          <w:spacing w:val="-17"/>
          <w:sz w:val="24"/>
        </w:rPr>
        <w:t>， </w:t>
      </w:r>
      <w:r>
        <w:rPr>
          <w:sz w:val="24"/>
        </w:rPr>
        <w:t>包括对研发给予一定财政补助</w:t>
      </w:r>
      <w:r>
        <w:rPr>
          <w:spacing w:val="-34"/>
          <w:sz w:val="24"/>
        </w:rPr>
        <w:t>、</w:t>
      </w:r>
      <w:r>
        <w:rPr>
          <w:sz w:val="24"/>
        </w:rPr>
        <w:t>加快小品种药品审评审批速度等</w:t>
      </w:r>
      <w:r>
        <w:rPr>
          <w:spacing w:val="-34"/>
          <w:sz w:val="24"/>
        </w:rPr>
        <w:t>。</w:t>
      </w:r>
      <w:r>
        <w:rPr>
          <w:sz w:val="24"/>
        </w:rPr>
        <w:t>其次</w:t>
      </w:r>
      <w:r>
        <w:rPr>
          <w:spacing w:val="-34"/>
          <w:sz w:val="24"/>
        </w:rPr>
        <w:t>，</w:t>
      </w:r>
      <w:r>
        <w:rPr>
          <w:sz w:val="24"/>
        </w:rPr>
        <w:t>对供应短缺的小品种药品和急抢救类药品</w:t>
      </w:r>
      <w:r>
        <w:rPr>
          <w:spacing w:val="-34"/>
          <w:sz w:val="24"/>
        </w:rPr>
        <w:t>，</w:t>
      </w:r>
      <w:r>
        <w:rPr>
          <w:sz w:val="24"/>
        </w:rPr>
        <w:t>可建立与完善定点生产制度</w:t>
      </w:r>
      <w:r>
        <w:rPr>
          <w:spacing w:val="-34"/>
          <w:sz w:val="24"/>
        </w:rPr>
        <w:t>，</w:t>
      </w:r>
      <w:r>
        <w:rPr>
          <w:sz w:val="24"/>
        </w:rPr>
        <w:t>通过政府补贴和集中采购等方式</w:t>
      </w:r>
      <w:r>
        <w:rPr>
          <w:spacing w:val="-34"/>
          <w:sz w:val="24"/>
        </w:rPr>
        <w:t>，</w:t>
      </w:r>
      <w:r>
        <w:rPr>
          <w:sz w:val="24"/>
        </w:rPr>
        <w:t>实现有计划的生产</w:t>
      </w:r>
      <w:r>
        <w:rPr>
          <w:spacing w:val="-27"/>
          <w:sz w:val="24"/>
        </w:rPr>
        <w:t>。</w:t>
      </w:r>
      <w:r>
        <w:rPr>
          <w:sz w:val="24"/>
        </w:rPr>
        <w:t>最后</w:t>
      </w:r>
      <w:r>
        <w:rPr>
          <w:spacing w:val="-27"/>
          <w:sz w:val="24"/>
        </w:rPr>
        <w:t>，</w:t>
      </w:r>
      <w:r>
        <w:rPr>
          <w:sz w:val="24"/>
        </w:rPr>
        <w:t>应充分发挥药品储备对小品种</w:t>
      </w:r>
      <w:r>
        <w:rPr>
          <w:spacing w:val="-27"/>
          <w:sz w:val="24"/>
        </w:rPr>
        <w:t>、</w:t>
      </w:r>
      <w:r>
        <w:rPr>
          <w:sz w:val="24"/>
        </w:rPr>
        <w:t>急抢救类药品的供应保障作用</w:t>
      </w:r>
      <w:r>
        <w:rPr>
          <w:spacing w:val="-27"/>
          <w:sz w:val="24"/>
        </w:rPr>
        <w:t>，</w:t>
      </w:r>
      <w:r>
        <w:rPr>
          <w:sz w:val="24"/>
        </w:rPr>
        <w:t>建立国家和地方两级储备制度</w:t>
      </w:r>
      <w:r>
        <w:rPr>
          <w:spacing w:val="-34"/>
          <w:sz w:val="24"/>
        </w:rPr>
        <w:t>，</w:t>
      </w:r>
      <w:r>
        <w:rPr>
          <w:sz w:val="24"/>
        </w:rPr>
        <w:t>完善短缺药品的应急调配机制</w:t>
      </w:r>
      <w:r>
        <w:rPr>
          <w:spacing w:val="-34"/>
          <w:sz w:val="24"/>
        </w:rPr>
        <w:t>，</w:t>
      </w:r>
      <w:r>
        <w:rPr>
          <w:sz w:val="24"/>
        </w:rPr>
        <w:t>实现中央和地方之间</w:t>
      </w:r>
      <w:r>
        <w:rPr>
          <w:spacing w:val="-34"/>
          <w:sz w:val="24"/>
        </w:rPr>
        <w:t>、</w:t>
      </w:r>
      <w:r>
        <w:rPr>
          <w:sz w:val="24"/>
        </w:rPr>
        <w:t>省际之间的储备联动。</w:t>
      </w:r>
    </w:p>
    <w:p>
      <w:pPr>
        <w:pStyle w:val="BodyText"/>
        <w:spacing w:before="1"/>
        <w:ind w:left="697"/>
      </w:pPr>
      <w:r>
        <w:rPr>
          <w:rFonts w:ascii="Calibri" w:eastAsia="Calibri"/>
        </w:rPr>
        <w:t>5 </w:t>
      </w:r>
      <w:r>
        <w:rPr/>
        <w:t>结论</w:t>
      </w:r>
    </w:p>
    <w:p>
      <w:pPr>
        <w:pStyle w:val="BodyText"/>
        <w:spacing w:line="312" w:lineRule="auto" w:before="94"/>
        <w:ind w:right="890" w:firstLine="420"/>
      </w:pPr>
      <w:r>
        <w:rPr>
          <w:spacing w:val="-4"/>
        </w:rPr>
        <w:t>药品短缺是一个复杂的系统性问题，解决该问题首先需要厘清造成药品短缺的本质原因， </w:t>
      </w:r>
      <w:r>
        <w:rPr/>
        <w:t>在此基础上抓关键因素，从药品价格、市场环境、政策制度以及立法等方面提出解决措施。</w:t>
      </w:r>
      <w:r>
        <w:rPr>
          <w:spacing w:val="-6"/>
        </w:rPr>
        <w:t>而这些解决措施的顺利实施，又要求政府各部门及药品供应各利益相关方的协调和配合，只 有药品供应链上各主体共同协作，才能最大程度的解决当前备受关注的药品短缺问题。</w:t>
      </w:r>
    </w:p>
    <w:p>
      <w:pPr>
        <w:spacing w:before="7"/>
        <w:ind w:left="637" w:right="0" w:firstLine="0"/>
        <w:jc w:val="left"/>
        <w:rPr>
          <w:rFonts w:ascii="华文楷体" w:eastAsia="华文楷体" w:hint="eastAsia"/>
          <w:sz w:val="21"/>
        </w:rPr>
      </w:pPr>
      <w:r>
        <w:rPr>
          <w:rFonts w:ascii="华文楷体" w:eastAsia="华文楷体" w:hint="eastAsia"/>
          <w:sz w:val="21"/>
        </w:rPr>
        <w:t>注：内容以实际出版物为准</w:t>
      </w:r>
    </w:p>
    <w:p>
      <w:pPr>
        <w:pStyle w:val="BodyText"/>
        <w:spacing w:before="2"/>
        <w:ind w:left="0"/>
        <w:rPr>
          <w:rFonts w:ascii="华文楷体"/>
          <w:sz w:val="16"/>
        </w:rPr>
      </w:pPr>
    </w:p>
    <w:p>
      <w:pPr>
        <w:pStyle w:val="Heading2"/>
      </w:pPr>
      <w:bookmarkStart w:name="_TOC_250012" w:id="33"/>
      <w:bookmarkEnd w:id="33"/>
      <w:r>
        <w:rPr/>
        <w:t>【中医中药】</w:t>
      </w:r>
    </w:p>
    <w:p>
      <w:pPr>
        <w:pStyle w:val="BodyText"/>
        <w:spacing w:before="8"/>
        <w:ind w:left="0"/>
        <w:rPr>
          <w:b/>
          <w:sz w:val="18"/>
        </w:rPr>
      </w:pPr>
    </w:p>
    <w:p>
      <w:pPr>
        <w:spacing w:after="0"/>
        <w:rPr>
          <w:sz w:val="18"/>
        </w:rPr>
        <w:sectPr>
          <w:pgSz w:w="11910" w:h="16850"/>
          <w:pgMar w:header="906" w:footer="607" w:top="1100" w:bottom="800" w:left="1060" w:right="0"/>
        </w:sectPr>
      </w:pPr>
    </w:p>
    <w:p>
      <w:pPr>
        <w:pStyle w:val="Heading2"/>
        <w:spacing w:before="55"/>
        <w:ind w:left="3359"/>
      </w:pPr>
      <w:bookmarkStart w:name="_TOC_250011" w:id="34"/>
      <w:bookmarkEnd w:id="34"/>
      <w:r>
        <w:rPr>
          <w:spacing w:val="-2"/>
        </w:rPr>
        <w:t>孩子的中药汤剂怎么吃</w:t>
      </w:r>
    </w:p>
    <w:p>
      <w:pPr>
        <w:pStyle w:val="BodyText"/>
        <w:ind w:left="0"/>
        <w:rPr>
          <w:b/>
        </w:rPr>
      </w:pPr>
      <w:r>
        <w:rPr/>
        <w:br w:type="column"/>
      </w:r>
      <w:r>
        <w:rPr>
          <w:b/>
        </w:rPr>
      </w:r>
    </w:p>
    <w:p>
      <w:pPr>
        <w:pStyle w:val="BodyText"/>
        <w:spacing w:before="7"/>
        <w:ind w:left="0"/>
        <w:rPr>
          <w:b/>
          <w:sz w:val="23"/>
        </w:rPr>
      </w:pPr>
    </w:p>
    <w:p>
      <w:pPr>
        <w:pStyle w:val="Heading3"/>
        <w:spacing w:before="1"/>
        <w:ind w:left="1178"/>
      </w:pPr>
      <w:r>
        <w:rPr>
          <w:color w:val="FF0000"/>
        </w:rPr>
        <w:t>（来源：健康报）</w:t>
      </w:r>
    </w:p>
    <w:p>
      <w:pPr>
        <w:spacing w:after="0"/>
        <w:sectPr>
          <w:type w:val="continuous"/>
          <w:pgSz w:w="11910" w:h="16850"/>
          <w:pgMar w:top="1080" w:bottom="1020" w:left="1060" w:right="0"/>
          <w:cols w:num="2" w:equalWidth="0">
            <w:col w:w="6570" w:space="40"/>
            <w:col w:w="4240"/>
          </w:cols>
        </w:sectPr>
      </w:pPr>
    </w:p>
    <w:p>
      <w:pPr>
        <w:pStyle w:val="BodyText"/>
        <w:spacing w:line="295" w:lineRule="auto" w:before="98"/>
        <w:ind w:right="1164" w:firstLine="480"/>
        <w:jc w:val="both"/>
      </w:pPr>
      <w:r>
        <w:rPr/>
        <w:t>中医治疗中，中药汤剂是重要的治疗方式。在门诊中，很多家长都会关心</w:t>
      </w:r>
      <w:r>
        <w:rPr>
          <w:rFonts w:ascii="Calibri" w:hAnsi="Calibri" w:eastAsia="Calibri"/>
        </w:rPr>
        <w:t>“</w:t>
      </w:r>
      <w:r>
        <w:rPr>
          <w:spacing w:val="-4"/>
        </w:rPr>
        <w:t>孩子的药应</w:t>
      </w:r>
      <w:r>
        <w:rPr/>
        <w:t>该怎么吃？吃多少？饭后吃还是饭前吃？</w:t>
      </w:r>
      <w:r>
        <w:rPr>
          <w:rFonts w:ascii="Calibri" w:hAnsi="Calibri" w:eastAsia="Calibri"/>
        </w:rPr>
        <w:t>”</w:t>
      </w:r>
      <w:r>
        <w:rPr>
          <w:spacing w:val="-1"/>
        </w:rPr>
        <w:t>现在我们就来详细介绍一下孩子吃中药的剂量、</w:t>
      </w:r>
      <w:r>
        <w:rPr/>
        <w:t>频次、时间等问题。</w:t>
      </w:r>
    </w:p>
    <w:p>
      <w:pPr>
        <w:pStyle w:val="Heading3"/>
        <w:spacing w:before="5"/>
        <w:rPr>
          <w:rFonts w:ascii="宋体" w:eastAsia="宋体" w:hint="eastAsia"/>
        </w:rPr>
      </w:pPr>
      <w:r>
        <w:rPr>
          <w:rFonts w:ascii="宋体" w:eastAsia="宋体" w:hint="eastAsia"/>
          <w:w w:val="95"/>
        </w:rPr>
        <w:t>拿捏好服用剂量</w:t>
      </w:r>
    </w:p>
    <w:p>
      <w:pPr>
        <w:pStyle w:val="BodyText"/>
        <w:spacing w:line="295" w:lineRule="auto" w:before="72"/>
        <w:ind w:right="1128" w:firstLine="480"/>
        <w:jc w:val="both"/>
      </w:pPr>
      <w:r>
        <w:rPr>
          <w:spacing w:val="-7"/>
        </w:rPr>
        <w:t>孩子服用汤药的剂量与成人不同，并且与年龄大小、体重密切相关。一般来讲，半岁以</w:t>
      </w:r>
      <w:r>
        <w:rPr>
          <w:spacing w:val="-13"/>
        </w:rPr>
        <w:t>内的孩子，全天总药量为 </w:t>
      </w:r>
      <w:r>
        <w:rPr>
          <w:rFonts w:ascii="Times New Roman" w:eastAsia="Times New Roman"/>
          <w:spacing w:val="-11"/>
        </w:rPr>
        <w:t>50ml</w:t>
      </w:r>
      <w:r>
        <w:rPr>
          <w:spacing w:val="-4"/>
        </w:rPr>
        <w:t>；半岁</w:t>
      </w:r>
      <w:r>
        <w:rPr>
          <w:rFonts w:ascii="Times New Roman" w:eastAsia="Times New Roman"/>
        </w:rPr>
        <w:t>~1 </w:t>
      </w:r>
      <w:r>
        <w:rPr>
          <w:spacing w:val="-13"/>
        </w:rPr>
        <w:t>岁的孩子，全天总药量为 </w:t>
      </w:r>
      <w:r>
        <w:rPr>
          <w:rFonts w:ascii="Times New Roman" w:eastAsia="Times New Roman"/>
          <w:spacing w:val="-8"/>
        </w:rPr>
        <w:t>100ml</w:t>
      </w:r>
      <w:r>
        <w:rPr>
          <w:spacing w:val="-8"/>
        </w:rPr>
        <w:t>；</w:t>
      </w:r>
      <w:r>
        <w:rPr>
          <w:rFonts w:ascii="Times New Roman" w:eastAsia="Times New Roman"/>
          <w:spacing w:val="-8"/>
        </w:rPr>
        <w:t>1 </w:t>
      </w:r>
      <w:r>
        <w:rPr/>
        <w:t>岁</w:t>
      </w:r>
      <w:r>
        <w:rPr>
          <w:rFonts w:ascii="Times New Roman" w:eastAsia="Times New Roman"/>
        </w:rPr>
        <w:t>~3 </w:t>
      </w:r>
      <w:r>
        <w:rPr>
          <w:spacing w:val="-3"/>
        </w:rPr>
        <w:t>岁的孩子，</w:t>
      </w:r>
    </w:p>
    <w:p>
      <w:pPr>
        <w:spacing w:after="0" w:line="295" w:lineRule="auto"/>
        <w:jc w:val="both"/>
        <w:sectPr>
          <w:type w:val="continuous"/>
          <w:pgSz w:w="11910" w:h="16850"/>
          <w:pgMar w:top="1080" w:bottom="1020" w:left="1060" w:right="0"/>
        </w:sectPr>
      </w:pPr>
    </w:p>
    <w:p>
      <w:pPr>
        <w:pStyle w:val="BodyText"/>
        <w:spacing w:line="295" w:lineRule="auto" w:before="65"/>
        <w:ind w:right="1126"/>
      </w:pPr>
      <w:r>
        <w:rPr>
          <w:spacing w:val="-9"/>
        </w:rPr>
        <w:t>全天总药量为 </w:t>
      </w:r>
      <w:r>
        <w:rPr>
          <w:rFonts w:ascii="Times New Roman" w:eastAsia="Times New Roman"/>
          <w:spacing w:val="-4"/>
        </w:rPr>
        <w:t>150ml</w:t>
      </w:r>
      <w:r>
        <w:rPr>
          <w:spacing w:val="-4"/>
        </w:rPr>
        <w:t>；</w:t>
      </w:r>
      <w:r>
        <w:rPr>
          <w:rFonts w:ascii="Times New Roman" w:eastAsia="Times New Roman"/>
          <w:spacing w:val="-4"/>
        </w:rPr>
        <w:t>3 </w:t>
      </w:r>
      <w:r>
        <w:rPr/>
        <w:t>岁</w:t>
      </w:r>
      <w:r>
        <w:rPr>
          <w:rFonts w:ascii="Times New Roman" w:eastAsia="Times New Roman"/>
        </w:rPr>
        <w:t>~6 </w:t>
      </w:r>
      <w:r>
        <w:rPr>
          <w:spacing w:val="-10"/>
        </w:rPr>
        <w:t>岁的孩子，全天总药量为 </w:t>
      </w:r>
      <w:r>
        <w:rPr>
          <w:rFonts w:ascii="Times New Roman" w:eastAsia="Times New Roman"/>
          <w:spacing w:val="-4"/>
        </w:rPr>
        <w:t>200ml</w:t>
      </w:r>
      <w:r>
        <w:rPr>
          <w:spacing w:val="-4"/>
        </w:rPr>
        <w:t>；</w:t>
      </w:r>
      <w:r>
        <w:rPr>
          <w:rFonts w:ascii="Times New Roman" w:eastAsia="Times New Roman"/>
          <w:spacing w:val="-4"/>
        </w:rPr>
        <w:t>6 </w:t>
      </w:r>
      <w:r>
        <w:rPr>
          <w:spacing w:val="-7"/>
        </w:rPr>
        <w:t>岁以上或体重超过 </w:t>
      </w:r>
      <w:r>
        <w:rPr>
          <w:rFonts w:ascii="Times New Roman" w:eastAsia="Times New Roman"/>
        </w:rPr>
        <w:t>20kg </w:t>
      </w:r>
      <w:r>
        <w:rPr>
          <w:spacing w:val="-13"/>
        </w:rPr>
        <w:t>的</w:t>
      </w:r>
      <w:r>
        <w:rPr>
          <w:spacing w:val="-7"/>
        </w:rPr>
        <w:t>孩子，全天总药量为 </w:t>
      </w:r>
      <w:r>
        <w:rPr>
          <w:rFonts w:ascii="Times New Roman" w:eastAsia="Times New Roman"/>
        </w:rPr>
        <w:t>300ml</w:t>
      </w:r>
      <w:r>
        <w:rPr/>
        <w:t>。</w:t>
      </w:r>
    </w:p>
    <w:p>
      <w:pPr>
        <w:pStyle w:val="BodyText"/>
        <w:spacing w:line="297" w:lineRule="auto" w:before="2"/>
        <w:ind w:right="1010" w:firstLine="480"/>
      </w:pPr>
      <w:r>
        <w:rPr>
          <w:spacing w:val="-17"/>
        </w:rPr>
        <w:t>以上药量只是参考剂量，但无论怎样，您煎出的中药都应该让孩子在规定的时间内喝完。</w:t>
      </w:r>
      <w:r>
        <w:rPr>
          <w:spacing w:val="-6"/>
        </w:rPr>
        <w:t>有的家长煎中药时药汤留多了，就把孩子喝不完的药倒掉，这是不对的。因为中药方中每味</w:t>
      </w:r>
      <w:r>
        <w:rPr>
          <w:spacing w:val="-13"/>
        </w:rPr>
        <w:t>药的剂量是根据孩子的病情制定的，把喝不完的中药倒掉相当于没有按照医生处方中的剂量服用，疗效自然会打折扣。</w:t>
      </w:r>
    </w:p>
    <w:p>
      <w:pPr>
        <w:pStyle w:val="Heading3"/>
        <w:spacing w:line="304" w:lineRule="exact"/>
        <w:rPr>
          <w:rFonts w:ascii="宋体" w:eastAsia="宋体" w:hint="eastAsia"/>
        </w:rPr>
      </w:pPr>
      <w:r>
        <w:rPr>
          <w:rFonts w:ascii="宋体" w:eastAsia="宋体" w:hint="eastAsia"/>
        </w:rPr>
        <w:t>不主张空腹服药</w:t>
      </w:r>
    </w:p>
    <w:p>
      <w:pPr>
        <w:pStyle w:val="BodyText"/>
        <w:spacing w:line="295" w:lineRule="auto" w:before="72"/>
        <w:ind w:right="1007" w:firstLine="480"/>
      </w:pPr>
      <w:r>
        <w:rPr>
          <w:spacing w:val="-7"/>
        </w:rPr>
        <w:t>由于小儿脾胃功能偏弱，因此孩子的中药多采用一日 </w:t>
      </w:r>
      <w:r>
        <w:rPr>
          <w:rFonts w:ascii="Times New Roman" w:eastAsia="Times New Roman"/>
        </w:rPr>
        <w:t>3 </w:t>
      </w:r>
      <w:r>
        <w:rPr>
          <w:spacing w:val="-9"/>
        </w:rPr>
        <w:t>次，饭后半小时服用的方式。如</w:t>
      </w:r>
      <w:r>
        <w:rPr>
          <w:spacing w:val="-19"/>
        </w:rPr>
        <w:t>因孩子上学等原因不能保证中午饭后服药，可改为早饭后、放学后及睡前半小时服药的方式。</w:t>
      </w:r>
    </w:p>
    <w:p>
      <w:pPr>
        <w:pStyle w:val="BodyText"/>
        <w:spacing w:line="297" w:lineRule="auto" w:before="5"/>
        <w:ind w:right="1014" w:firstLine="480"/>
      </w:pPr>
      <w:r>
        <w:rPr>
          <w:spacing w:val="-8"/>
        </w:rPr>
        <w:t>孩子服药的频次、时间还与孩子所患病症有关。如孩子患急性发热，所服中药以退热解</w:t>
      </w:r>
      <w:r>
        <w:rPr>
          <w:spacing w:val="-9"/>
        </w:rPr>
        <w:t>表为主，可采用少量频服的服药方式，既可避免孩子发热时服中药引起呕吐、恶心等不适， </w:t>
      </w:r>
      <w:r>
        <w:rPr>
          <w:spacing w:val="-8"/>
        </w:rPr>
        <w:t>又可增强疗效，起到更好的退热作用。如孩子服中药后即刻出现呕吐，可暂停喂药，饮少量</w:t>
      </w:r>
      <w:r>
        <w:rPr>
          <w:spacing w:val="-11"/>
        </w:rPr>
        <w:t>温水，待孩子症状稍平稳后再喂药。对于尿床的孩子，因其疾病原因要求晚餐后禁水，因此可将中药改成晚餐前半小时服用。</w:t>
      </w:r>
    </w:p>
    <w:p>
      <w:pPr>
        <w:pStyle w:val="BodyText"/>
        <w:spacing w:line="297" w:lineRule="auto"/>
        <w:ind w:right="1129" w:firstLine="480"/>
      </w:pPr>
      <w:r>
        <w:rPr>
          <w:spacing w:val="-2"/>
        </w:rPr>
        <w:t>一般都不主张孩子长期空腹服药</w:t>
      </w:r>
      <w:r>
        <w:rPr/>
        <w:t>（特殊疾病除外</w:t>
      </w:r>
      <w:r>
        <w:rPr>
          <w:spacing w:val="-27"/>
        </w:rPr>
        <w:t>），</w:t>
      </w:r>
      <w:r>
        <w:rPr>
          <w:spacing w:val="-4"/>
        </w:rPr>
        <w:t>否则容易导致胃部不适。若由于时</w:t>
      </w:r>
      <w:r>
        <w:rPr/>
        <w:t>间因素，一定需要饭前服用，可于服药前先进食少量饼干、面包等食物。</w:t>
      </w:r>
    </w:p>
    <w:p>
      <w:pPr>
        <w:pStyle w:val="Heading3"/>
        <w:spacing w:line="306" w:lineRule="exact"/>
        <w:rPr>
          <w:rFonts w:ascii="Calibri" w:hAnsi="Calibri" w:eastAsia="Calibri"/>
        </w:rPr>
      </w:pPr>
      <w:r>
        <w:rPr>
          <w:rFonts w:ascii="宋体" w:hAnsi="宋体" w:eastAsia="宋体" w:hint="eastAsia"/>
        </w:rPr>
        <w:t>服药期间咋</w:t>
      </w:r>
      <w:r>
        <w:rPr>
          <w:rFonts w:ascii="Calibri" w:hAnsi="Calibri" w:eastAsia="Calibri"/>
        </w:rPr>
        <w:t>“</w:t>
      </w:r>
      <w:r>
        <w:rPr>
          <w:rFonts w:ascii="宋体" w:hAnsi="宋体" w:eastAsia="宋体" w:hint="eastAsia"/>
        </w:rPr>
        <w:t>忌口</w:t>
      </w:r>
      <w:r>
        <w:rPr>
          <w:rFonts w:ascii="Calibri" w:hAnsi="Calibri" w:eastAsia="Calibri"/>
        </w:rPr>
        <w:t>”</w:t>
      </w:r>
    </w:p>
    <w:p>
      <w:pPr>
        <w:pStyle w:val="BodyText"/>
        <w:spacing w:line="297" w:lineRule="auto" w:before="64"/>
        <w:ind w:right="1130" w:firstLine="480"/>
        <w:jc w:val="both"/>
      </w:pPr>
      <w:r>
        <w:rPr>
          <w:spacing w:val="-7"/>
        </w:rPr>
        <w:t>服药期间的忌口与患儿疾病相关。中医认为，小儿脾常不足。对于孩子来讲，患病期间</w:t>
      </w:r>
      <w:r>
        <w:rPr>
          <w:spacing w:val="-9"/>
        </w:rPr>
        <w:t>脾胃功能更为虚弱。因此，总体饮食应以清淡而富有营养为主，避免进食寒凉、油腻、辛辣</w:t>
      </w:r>
      <w:r>
        <w:rPr>
          <w:spacing w:val="-7"/>
        </w:rPr>
        <w:t>刺激及口味过重的食物。如患有特殊的疾病如湿疹、哮喘等，不能进食相应的过敏食物</w:t>
      </w:r>
      <w:r>
        <w:rPr/>
        <w:t>（</w:t>
      </w:r>
      <w:r>
        <w:rPr>
          <w:spacing w:val="-15"/>
        </w:rPr>
        <w:t>如</w:t>
      </w:r>
      <w:r>
        <w:rPr/>
        <w:t>鱼虾、羊肉等），医生会有特别的嘱咐，遵医嘱即可。</w:t>
      </w:r>
    </w:p>
    <w:p>
      <w:pPr>
        <w:pStyle w:val="BodyText"/>
        <w:spacing w:line="304" w:lineRule="exact"/>
        <w:ind w:left="697"/>
      </w:pPr>
      <w:r>
        <w:rPr/>
        <w:t>作者：北京中医医院儿科主任 李敏</w:t>
      </w:r>
    </w:p>
    <w:p>
      <w:pPr>
        <w:pStyle w:val="BodyText"/>
        <w:spacing w:before="5"/>
        <w:ind w:left="0"/>
        <w:rPr>
          <w:sz w:val="19"/>
        </w:rPr>
      </w:pPr>
    </w:p>
    <w:p>
      <w:pPr>
        <w:spacing w:after="0"/>
        <w:rPr>
          <w:sz w:val="19"/>
        </w:rPr>
        <w:sectPr>
          <w:pgSz w:w="11910" w:h="16850"/>
          <w:pgMar w:header="906" w:footer="607" w:top="1100" w:bottom="800" w:left="1060" w:right="0"/>
        </w:sectPr>
      </w:pPr>
    </w:p>
    <w:p>
      <w:pPr>
        <w:pStyle w:val="Heading2"/>
        <w:spacing w:before="55"/>
        <w:ind w:left="3841"/>
      </w:pPr>
      <w:bookmarkStart w:name="_TOC_250010" w:id="35"/>
      <w:bookmarkEnd w:id="35"/>
      <w:r>
        <w:rPr/>
        <w:t>选用薏米有讲究</w:t>
      </w:r>
    </w:p>
    <w:p>
      <w:pPr>
        <w:pStyle w:val="BodyText"/>
        <w:ind w:left="0"/>
        <w:rPr>
          <w:b/>
        </w:rPr>
      </w:pPr>
      <w:r>
        <w:rPr/>
        <w:br w:type="column"/>
      </w:r>
      <w:r>
        <w:rPr>
          <w:b/>
        </w:rPr>
      </w:r>
    </w:p>
    <w:p>
      <w:pPr>
        <w:pStyle w:val="BodyText"/>
        <w:spacing w:before="8"/>
        <w:ind w:left="0"/>
        <w:rPr>
          <w:b/>
          <w:sz w:val="23"/>
        </w:rPr>
      </w:pPr>
    </w:p>
    <w:p>
      <w:pPr>
        <w:pStyle w:val="Heading3"/>
        <w:ind w:left="1654"/>
      </w:pPr>
      <w:r>
        <w:rPr>
          <w:color w:val="FF0000"/>
        </w:rPr>
        <w:t>（来源：健康报）</w:t>
      </w:r>
    </w:p>
    <w:p>
      <w:pPr>
        <w:spacing w:after="0"/>
        <w:sectPr>
          <w:type w:val="continuous"/>
          <w:pgSz w:w="11910" w:h="16850"/>
          <w:pgMar w:top="1080" w:bottom="1020" w:left="1060" w:right="0"/>
          <w:cols w:num="2" w:equalWidth="0">
            <w:col w:w="6094" w:space="40"/>
            <w:col w:w="4716"/>
          </w:cols>
        </w:sectPr>
      </w:pPr>
    </w:p>
    <w:p>
      <w:pPr>
        <w:pStyle w:val="BodyText"/>
        <w:spacing w:line="295" w:lineRule="auto" w:before="98"/>
        <w:ind w:right="1130" w:firstLine="480"/>
        <w:jc w:val="both"/>
      </w:pPr>
      <w:r>
        <w:rPr>
          <w:spacing w:val="-8"/>
        </w:rPr>
        <w:t>很多人经常用薏苡仁熬水喝，认为它健脾利湿效果比较好。事实上，薏苡仁是一味药食</w:t>
      </w:r>
      <w:r>
        <w:rPr>
          <w:spacing w:val="-21"/>
        </w:rPr>
        <w:t>两用的中药，又叫薏米、薏珠子等。根据炮制方法不同，又分为生薏仁、炒薏仁和麸炒薏仁， </w:t>
      </w:r>
      <w:r>
        <w:rPr/>
        <w:t>功效有所侧重，大家在食用时一定要注意。</w:t>
      </w:r>
    </w:p>
    <w:p>
      <w:pPr>
        <w:pStyle w:val="Heading3"/>
        <w:spacing w:before="6"/>
        <w:rPr>
          <w:rFonts w:ascii="宋体" w:eastAsia="宋体" w:hint="eastAsia"/>
        </w:rPr>
      </w:pPr>
      <w:r>
        <w:rPr>
          <w:rFonts w:ascii="宋体" w:eastAsia="宋体" w:hint="eastAsia"/>
        </w:rPr>
        <w:t>生薏仁</w:t>
      </w:r>
    </w:p>
    <w:p>
      <w:pPr>
        <w:pStyle w:val="BodyText"/>
        <w:spacing w:line="297" w:lineRule="auto" w:before="72"/>
        <w:ind w:right="1127" w:firstLine="480"/>
        <w:jc w:val="both"/>
      </w:pPr>
      <w:r>
        <w:rPr>
          <w:spacing w:val="-17"/>
        </w:rPr>
        <w:t>生薏仁就是没有经过炮制的薏苡仁，归脾、胃、肺经，具有健脾渗湿、清热利水的作用。</w:t>
      </w:r>
      <w:r>
        <w:rPr>
          <w:spacing w:val="-1"/>
        </w:rPr>
        <w:t>中药学中有句话叫</w:t>
      </w:r>
      <w:r>
        <w:rPr>
          <w:rFonts w:ascii="Calibri" w:hAnsi="Calibri" w:eastAsia="Calibri"/>
        </w:rPr>
        <w:t>“</w:t>
      </w:r>
      <w:r>
        <w:rPr/>
        <w:t>生泻熟补</w:t>
      </w:r>
      <w:r>
        <w:rPr>
          <w:rFonts w:ascii="Calibri" w:hAnsi="Calibri" w:eastAsia="Calibri"/>
        </w:rPr>
        <w:t>”</w:t>
      </w:r>
      <w:r>
        <w:rPr>
          <w:spacing w:val="-19"/>
        </w:rPr>
        <w:t>，所以生薏仁长于利水渗湿、除痹止痛，当患者出现小便不利、</w:t>
      </w:r>
      <w:r>
        <w:rPr>
          <w:spacing w:val="-22"/>
        </w:rPr>
        <w:t>脚气、风湿痹痛的时候会用到它。但需要注意的是，生薏仁的药性偏凉，所以不宜长期使用。</w:t>
      </w:r>
    </w:p>
    <w:p>
      <w:pPr>
        <w:pStyle w:val="Heading3"/>
        <w:spacing w:line="304" w:lineRule="exact"/>
        <w:rPr>
          <w:rFonts w:ascii="宋体" w:eastAsia="宋体" w:hint="eastAsia"/>
        </w:rPr>
      </w:pPr>
      <w:r>
        <w:rPr>
          <w:rFonts w:ascii="宋体" w:eastAsia="宋体" w:hint="eastAsia"/>
        </w:rPr>
        <w:t>炒薏仁</w:t>
      </w:r>
    </w:p>
    <w:p>
      <w:pPr>
        <w:pStyle w:val="BodyText"/>
        <w:spacing w:line="297" w:lineRule="auto" w:before="72"/>
        <w:ind w:right="1014" w:firstLine="480"/>
      </w:pPr>
      <w:r>
        <w:rPr>
          <w:spacing w:val="-7"/>
        </w:rPr>
        <w:t>将薏苡仁放在炒制容器内，用文火加热后，炒至表面微黄色，晾干后的就是炒薏仁。经</w:t>
      </w:r>
      <w:r>
        <w:rPr>
          <w:spacing w:val="-8"/>
        </w:rPr>
        <w:t>过炒制后的薏仁药性就偏于平和了，它的健脾作用和利湿作用都比较好。现在的人活动少、</w:t>
      </w:r>
      <w:r>
        <w:rPr>
          <w:spacing w:val="-10"/>
        </w:rPr>
        <w:t>吃得多、爱熬夜、过食肥甘厚腻，而且生活压力大，容易脾虚湿盛，出现头昏身重、四肢酸懒、舌苔厚腻等症状，这时候可以选择炒薏仁来健脾利湿。</w:t>
      </w:r>
    </w:p>
    <w:p>
      <w:pPr>
        <w:pStyle w:val="Heading3"/>
        <w:spacing w:line="304" w:lineRule="exact"/>
        <w:rPr>
          <w:rFonts w:ascii="宋体" w:eastAsia="宋体" w:hint="eastAsia"/>
        </w:rPr>
      </w:pPr>
      <w:r>
        <w:rPr>
          <w:rFonts w:ascii="宋体" w:eastAsia="宋体" w:hint="eastAsia"/>
        </w:rPr>
        <w:t>麸炒薏仁</w:t>
      </w:r>
    </w:p>
    <w:p>
      <w:pPr>
        <w:spacing w:after="0" w:line="304" w:lineRule="exact"/>
        <w:rPr>
          <w:rFonts w:ascii="宋体" w:eastAsia="宋体" w:hint="eastAsia"/>
        </w:rPr>
        <w:sectPr>
          <w:type w:val="continuous"/>
          <w:pgSz w:w="11910" w:h="16850"/>
          <w:pgMar w:top="1080" w:bottom="1020" w:left="1060" w:right="0"/>
        </w:sectPr>
      </w:pPr>
    </w:p>
    <w:p>
      <w:pPr>
        <w:pStyle w:val="BodyText"/>
        <w:spacing w:line="295" w:lineRule="auto" w:before="65"/>
        <w:ind w:right="1127" w:firstLine="480"/>
        <w:jc w:val="both"/>
      </w:pPr>
      <w:r>
        <w:rPr>
          <w:spacing w:val="-6"/>
        </w:rPr>
        <w:t>麸炒薏仁就是把薏仁和麦麸混合在一起进行炒制，这时候一方面使药性变得平和，另一</w:t>
      </w:r>
      <w:r>
        <w:rPr>
          <w:spacing w:val="-7"/>
        </w:rPr>
        <w:t>方面还增强了健脾作用。麸炒薏仁的健脾作用要胜于炒薏仁。所以，如果有脾虚、经常拉肚</w:t>
      </w:r>
      <w:r>
        <w:rPr/>
        <w:t>子、吃饭少、肚子胀，那可以选用麸炒薏仁，效果会更好。</w:t>
      </w:r>
    </w:p>
    <w:p>
      <w:pPr>
        <w:pStyle w:val="BodyText"/>
        <w:spacing w:line="297" w:lineRule="auto" w:before="5"/>
        <w:ind w:right="1127" w:firstLine="480"/>
        <w:jc w:val="both"/>
      </w:pPr>
      <w:r>
        <w:rPr>
          <w:spacing w:val="-6"/>
        </w:rPr>
        <w:t>大家在购买薏苡仁时要注意质量优劣。一是看薏苡仁表面有无光泽，有光泽、颗粒饱满</w:t>
      </w:r>
      <w:r>
        <w:rPr>
          <w:spacing w:val="-9"/>
        </w:rPr>
        <w:t>的质量较好。二是闻气味，新鲜的薏苡仁气味新鲜清香，如果闻着有苦腥味，多是陈年薏苡</w:t>
      </w:r>
      <w:r>
        <w:rPr>
          <w:spacing w:val="-11"/>
        </w:rPr>
        <w:t>仁。三是捏一捏，质量较好的薏苡仁一般颗粒饱满坚硬，如果一捏便碎或者掉渣、掉粉，说</w:t>
      </w:r>
      <w:r>
        <w:rPr>
          <w:spacing w:val="-15"/>
        </w:rPr>
        <w:t>明质量较为一般。还有一点要特别提醒，有些劣质的薏苡仁中含有黄曲霉毒素，它是一种致</w:t>
      </w:r>
      <w:r>
        <w:rPr/>
        <w:t>癌物，所以购买时一定要注意。</w:t>
      </w:r>
    </w:p>
    <w:p>
      <w:pPr>
        <w:pStyle w:val="BodyText"/>
        <w:spacing w:line="299" w:lineRule="exact"/>
        <w:ind w:left="697"/>
      </w:pPr>
      <w:r>
        <w:rPr/>
        <w:t>河南中医药大学第一附属医院药学部副主任药师 刘瑞新</w:t>
      </w:r>
    </w:p>
    <w:p>
      <w:pPr>
        <w:pStyle w:val="BodyText"/>
        <w:spacing w:before="10"/>
        <w:ind w:left="0"/>
        <w:rPr>
          <w:sz w:val="23"/>
        </w:rPr>
      </w:pPr>
    </w:p>
    <w:p>
      <w:pPr>
        <w:pStyle w:val="Heading2"/>
      </w:pPr>
      <w:bookmarkStart w:name="_TOC_250009" w:id="36"/>
      <w:bookmarkEnd w:id="36"/>
      <w:r>
        <w:rPr/>
        <w:t>【科普知识】</w:t>
      </w:r>
    </w:p>
    <w:p>
      <w:pPr>
        <w:pStyle w:val="BodyText"/>
        <w:spacing w:before="9"/>
        <w:ind w:left="0"/>
        <w:rPr>
          <w:b/>
          <w:sz w:val="22"/>
        </w:rPr>
      </w:pPr>
    </w:p>
    <w:p>
      <w:pPr>
        <w:pStyle w:val="Heading2"/>
        <w:ind w:left="226"/>
      </w:pPr>
      <w:bookmarkStart w:name="_TOC_250008" w:id="37"/>
      <w:bookmarkEnd w:id="37"/>
      <w:r>
        <w:rPr>
          <w:spacing w:val="-4"/>
        </w:rPr>
        <w:t>安眠药 “上瘾”？那是你不会吃！搞定失眠，知道这几点很重要！</w:t>
      </w:r>
    </w:p>
    <w:p>
      <w:pPr>
        <w:pStyle w:val="Heading3"/>
        <w:spacing w:before="147"/>
        <w:ind w:left="6340"/>
      </w:pPr>
      <w:r>
        <w:rPr>
          <w:color w:val="FF0000"/>
          <w:w w:val="95"/>
        </w:rPr>
        <w:t>（来源：药葫芦娃微信公众号）</w:t>
      </w:r>
    </w:p>
    <w:p>
      <w:pPr>
        <w:pStyle w:val="BodyText"/>
        <w:spacing w:line="295" w:lineRule="auto" w:before="96"/>
        <w:ind w:right="1132" w:firstLine="480"/>
      </w:pPr>
      <w:r>
        <w:rPr>
          <w:spacing w:val="-8"/>
        </w:rPr>
        <w:t>睡眠这东西脾气很怪，不要它它偏来，请它捧它，千方百计地勾引它，它便躲得连影子</w:t>
      </w:r>
      <w:r>
        <w:rPr/>
        <w:t>也不见。</w:t>
      </w:r>
      <w:r>
        <w:rPr>
          <w:rFonts w:ascii="Calibri" w:hAnsi="Calibri" w:eastAsia="Calibri"/>
        </w:rPr>
        <w:t>——</w:t>
      </w:r>
      <w:r>
        <w:rPr/>
        <w:t>钱钟书</w:t>
      </w:r>
    </w:p>
    <w:p>
      <w:pPr>
        <w:pStyle w:val="BodyText"/>
        <w:spacing w:line="247" w:lineRule="exact"/>
        <w:ind w:left="687"/>
      </w:pPr>
      <w:r>
        <w:rPr/>
        <w:t>不禁要说句：精辟啊！</w:t>
      </w:r>
    </w:p>
    <w:p>
      <w:pPr>
        <w:pStyle w:val="BodyText"/>
        <w:spacing w:before="70"/>
        <w:ind w:left="685"/>
      </w:pPr>
      <w:r>
        <w:rPr/>
        <w:t>可不奏是这么回事！</w:t>
      </w:r>
    </w:p>
    <w:p>
      <w:pPr>
        <w:pStyle w:val="BodyText"/>
        <w:spacing w:before="71"/>
        <w:ind w:left="685"/>
        <w:rPr>
          <w:rFonts w:ascii="Calibri" w:hAnsi="Calibri" w:eastAsia="Calibri"/>
        </w:rPr>
      </w:pPr>
      <w:r>
        <w:rPr/>
        <w:t>白天睡不醒，晚上睡不着</w:t>
      </w:r>
      <w:r>
        <w:rPr>
          <w:rFonts w:ascii="Calibri" w:hAnsi="Calibri" w:eastAsia="Calibri"/>
        </w:rPr>
        <w:t>……</w:t>
      </w:r>
    </w:p>
    <w:p>
      <w:pPr>
        <w:pStyle w:val="BodyText"/>
        <w:spacing w:line="297" w:lineRule="auto" w:before="72"/>
        <w:ind w:left="685" w:right="5507"/>
      </w:pPr>
      <w:r>
        <w:rPr/>
        <w:t>任你数羊数到成堆，丝毫见不着睡眠的影</w:t>
      </w:r>
      <w:r>
        <w:rPr>
          <w:rFonts w:ascii="Calibri" w:hAnsi="Calibri" w:eastAsia="Calibri"/>
        </w:rPr>
        <w:t>…… </w:t>
      </w:r>
      <w:r>
        <w:rPr/>
        <w:t>殊不知，失眠的你，并不孤单！</w:t>
      </w:r>
    </w:p>
    <w:p>
      <w:pPr>
        <w:pStyle w:val="BodyText"/>
        <w:spacing w:line="306" w:lineRule="exact"/>
        <w:ind w:left="685"/>
      </w:pPr>
      <w:r>
        <w:rPr/>
        <w:t>研究表明，有失眠症状者比例高达 </w:t>
      </w:r>
      <w:r>
        <w:rPr>
          <w:rFonts w:ascii="Calibri" w:eastAsia="Calibri"/>
        </w:rPr>
        <w:t>57%</w:t>
      </w:r>
      <w:r>
        <w:rPr/>
        <w:t>。</w:t>
      </w:r>
    </w:p>
    <w:p>
      <w:pPr>
        <w:pStyle w:val="BodyText"/>
        <w:spacing w:before="72"/>
        <w:ind w:left="685"/>
      </w:pPr>
      <w:r>
        <w:rPr/>
        <w:t>失眠是常见的睡眠问题，且具有慢性化、复发性特点。</w:t>
      </w:r>
    </w:p>
    <w:p>
      <w:pPr>
        <w:pStyle w:val="BodyText"/>
        <w:spacing w:line="295" w:lineRule="auto" w:before="74"/>
        <w:ind w:right="1130" w:firstLine="468"/>
      </w:pPr>
      <w:r>
        <w:rPr>
          <w:spacing w:val="-7"/>
        </w:rPr>
        <w:t>失眠严重损害患者身心健康，影响患者生活质量，更重要的是，失眠往往是某些疾病的</w:t>
      </w:r>
      <w:r>
        <w:rPr/>
        <w:t>外在表现形式之一。</w:t>
      </w:r>
    </w:p>
    <w:p>
      <w:pPr>
        <w:pStyle w:val="BodyText"/>
        <w:spacing w:before="2"/>
        <w:ind w:left="4948"/>
      </w:pPr>
      <w:r>
        <w:rPr/>
        <w:drawing>
          <wp:anchor distT="0" distB="0" distL="0" distR="0" allowOverlap="1" layoutInCell="1" locked="0" behindDoc="1" simplePos="0" relativeHeight="268359959">
            <wp:simplePos x="0" y="0"/>
            <wp:positionH relativeFrom="page">
              <wp:posOffset>908050</wp:posOffset>
            </wp:positionH>
            <wp:positionV relativeFrom="paragraph">
              <wp:posOffset>-33654</wp:posOffset>
            </wp:positionV>
            <wp:extent cx="2495550" cy="867410"/>
            <wp:effectExtent l="0" t="0" r="0" b="0"/>
            <wp:wrapNone/>
            <wp:docPr id="3" name="image10.jpeg" descr=""/>
            <wp:cNvGraphicFramePr>
              <a:graphicFrameLocks noChangeAspect="1"/>
            </wp:cNvGraphicFramePr>
            <a:graphic>
              <a:graphicData uri="http://schemas.openxmlformats.org/drawingml/2006/picture">
                <pic:pic>
                  <pic:nvPicPr>
                    <pic:cNvPr id="4" name="image10.jpeg"/>
                    <pic:cNvPicPr/>
                  </pic:nvPicPr>
                  <pic:blipFill>
                    <a:blip r:embed="rId24" cstate="print"/>
                    <a:stretch>
                      <a:fillRect/>
                    </a:stretch>
                  </pic:blipFill>
                  <pic:spPr>
                    <a:xfrm>
                      <a:off x="0" y="0"/>
                      <a:ext cx="2495550" cy="867410"/>
                    </a:xfrm>
                    <a:prstGeom prst="rect">
                      <a:avLst/>
                    </a:prstGeom>
                  </pic:spPr>
                </pic:pic>
              </a:graphicData>
            </a:graphic>
          </wp:anchor>
        </w:drawing>
      </w:r>
      <w:r>
        <w:rPr/>
        <w:t>失眠的治疗包括非药物治疗和药物治疗。</w:t>
      </w:r>
    </w:p>
    <w:p>
      <w:pPr>
        <w:pStyle w:val="BodyText"/>
        <w:spacing w:line="295" w:lineRule="auto" w:before="75"/>
        <w:ind w:left="4480" w:right="1077" w:firstLine="468"/>
      </w:pPr>
      <w:r>
        <w:rPr/>
        <w:t>安眠药物能较为迅速地缓解失眠症状、改善睡眠质量和延长有效睡眠时间，但它犹如一把</w:t>
      </w:r>
      <w:r>
        <w:rPr>
          <w:rFonts w:ascii="Calibri" w:hAnsi="Calibri" w:eastAsia="Calibri"/>
        </w:rPr>
        <w:t>“</w:t>
      </w:r>
      <w:r>
        <w:rPr/>
        <w:t>双刃</w:t>
      </w:r>
    </w:p>
    <w:p>
      <w:pPr>
        <w:pStyle w:val="BodyText"/>
        <w:spacing w:before="8"/>
        <w:ind w:left="0"/>
        <w:rPr>
          <w:sz w:val="18"/>
        </w:rPr>
      </w:pPr>
    </w:p>
    <w:p>
      <w:pPr>
        <w:pStyle w:val="BodyText"/>
        <w:spacing w:line="295" w:lineRule="auto" w:before="1"/>
        <w:ind w:left="6242" w:right="1141"/>
      </w:pPr>
      <w:r>
        <w:rPr/>
        <w:drawing>
          <wp:anchor distT="0" distB="0" distL="0" distR="0" allowOverlap="1" layoutInCell="1" locked="0" behindDoc="0" simplePos="0" relativeHeight="5152">
            <wp:simplePos x="0" y="0"/>
            <wp:positionH relativeFrom="page">
              <wp:posOffset>948956</wp:posOffset>
            </wp:positionH>
            <wp:positionV relativeFrom="paragraph">
              <wp:posOffset>43053</wp:posOffset>
            </wp:positionV>
            <wp:extent cx="3565258" cy="2330450"/>
            <wp:effectExtent l="0" t="0" r="0" b="0"/>
            <wp:wrapNone/>
            <wp:docPr id="5" name="image11.jpeg" descr=""/>
            <wp:cNvGraphicFramePr>
              <a:graphicFrameLocks noChangeAspect="1"/>
            </wp:cNvGraphicFramePr>
            <a:graphic>
              <a:graphicData uri="http://schemas.openxmlformats.org/drawingml/2006/picture">
                <pic:pic>
                  <pic:nvPicPr>
                    <pic:cNvPr id="6" name="image11.jpeg"/>
                    <pic:cNvPicPr/>
                  </pic:nvPicPr>
                  <pic:blipFill>
                    <a:blip r:embed="rId25" cstate="print"/>
                    <a:stretch>
                      <a:fillRect/>
                    </a:stretch>
                  </pic:blipFill>
                  <pic:spPr>
                    <a:xfrm>
                      <a:off x="0" y="0"/>
                      <a:ext cx="3565258" cy="2330450"/>
                    </a:xfrm>
                    <a:prstGeom prst="rect">
                      <a:avLst/>
                    </a:prstGeom>
                  </pic:spPr>
                </pic:pic>
              </a:graphicData>
            </a:graphic>
          </wp:anchor>
        </w:drawing>
      </w:r>
      <w:r>
        <w:rPr/>
        <w:t>剑</w:t>
      </w:r>
      <w:r>
        <w:rPr>
          <w:rFonts w:ascii="Calibri" w:hAnsi="Calibri" w:eastAsia="Calibri"/>
        </w:rPr>
        <w:t>”</w:t>
      </w:r>
      <w:r>
        <w:rPr/>
        <w:t>，疗效好，潜在的药物不良反应也不能忽视！</w:t>
      </w:r>
    </w:p>
    <w:p>
      <w:pPr>
        <w:pStyle w:val="Heading3"/>
        <w:spacing w:line="295" w:lineRule="auto" w:before="4"/>
        <w:ind w:left="6242" w:right="1243" w:firstLine="468"/>
        <w:rPr>
          <w:rFonts w:ascii="宋体" w:eastAsia="宋体" w:hint="eastAsia"/>
        </w:rPr>
      </w:pPr>
      <w:r>
        <w:rPr>
          <w:rFonts w:ascii="宋体" w:eastAsia="宋体" w:hint="eastAsia"/>
        </w:rPr>
        <w:t>失眠了，安眠药能不能用？ 怎么用？</w:t>
      </w:r>
    </w:p>
    <w:p>
      <w:pPr>
        <w:pStyle w:val="BodyText"/>
        <w:spacing w:before="2"/>
        <w:ind w:left="6710"/>
      </w:pPr>
      <w:r>
        <w:rPr/>
        <w:t>莫慌！</w:t>
      </w:r>
    </w:p>
    <w:p>
      <w:pPr>
        <w:pStyle w:val="BodyText"/>
        <w:spacing w:before="74"/>
        <w:ind w:left="6710"/>
      </w:pPr>
      <w:r>
        <w:rPr/>
        <w:t>药娃来支招！</w:t>
      </w:r>
    </w:p>
    <w:p>
      <w:pPr>
        <w:spacing w:line="297" w:lineRule="auto" w:before="72"/>
        <w:ind w:left="6242" w:right="1242" w:firstLine="468"/>
        <w:jc w:val="both"/>
        <w:rPr>
          <w:sz w:val="24"/>
        </w:rPr>
      </w:pPr>
      <w:r>
        <w:rPr>
          <w:b/>
          <w:sz w:val="24"/>
        </w:rPr>
        <w:t>现批准用于失眠治疗的药物</w:t>
      </w:r>
      <w:r>
        <w:rPr>
          <w:sz w:val="24"/>
        </w:rPr>
        <w:t>安眠药和所有药物一样，有副作用，但人家的治疗作用也是杠杠的！</w:t>
      </w:r>
    </w:p>
    <w:p>
      <w:pPr>
        <w:spacing w:after="0" w:line="297" w:lineRule="auto"/>
        <w:jc w:val="both"/>
        <w:rPr>
          <w:sz w:val="24"/>
        </w:rPr>
        <w:sectPr>
          <w:pgSz w:w="11910" w:h="16850"/>
          <w:pgMar w:header="906" w:footer="607" w:top="1100" w:bottom="800" w:left="1060" w:right="0"/>
        </w:sectPr>
      </w:pPr>
    </w:p>
    <w:p>
      <w:pPr>
        <w:pStyle w:val="BodyText"/>
        <w:spacing w:before="65"/>
        <w:ind w:left="685"/>
      </w:pPr>
      <w:r>
        <w:rPr/>
        <w:t>合理使用安眠药能减轻甚至避免药物在治疗时所潜在的不良反应。</w:t>
      </w:r>
    </w:p>
    <w:p>
      <w:pPr>
        <w:pStyle w:val="Heading3"/>
        <w:spacing w:before="72"/>
        <w:ind w:left="6585"/>
        <w:rPr>
          <w:rFonts w:ascii="宋体" w:eastAsia="宋体" w:hint="eastAsia"/>
        </w:rPr>
      </w:pPr>
      <w:r>
        <w:rPr/>
        <w:pict>
          <v:group style="position:absolute;margin-left:55.25pt;margin-top:8.06pt;width:293.95pt;height:671.5pt;mso-position-horizontal-relative:page;mso-position-vertical-relative:paragraph;z-index:5176" coordorigin="1105,161" coordsize="5879,13430">
            <v:shape style="position:absolute;left:1337;top:161;width:5647;height:3760" type="#_x0000_t75" stroked="false">
              <v:imagedata r:id="rId26" o:title=""/>
            </v:shape>
            <v:shape style="position:absolute;left:1170;top:3221;width:5781;height:2840" type="#_x0000_t75" stroked="false">
              <v:imagedata r:id="rId27" o:title=""/>
            </v:shape>
            <v:shape style="position:absolute;left:1441;top:6061;width:5510;height:2950" type="#_x0000_t75" stroked="false">
              <v:imagedata r:id="rId28" o:title=""/>
            </v:shape>
            <v:shape style="position:absolute;left:1105;top:8311;width:5846;height:5280" type="#_x0000_t75" stroked="false">
              <v:imagedata r:id="rId29" o:title=""/>
            </v:shape>
            <w10:wrap type="none"/>
          </v:group>
        </w:pict>
      </w:r>
      <w:r>
        <w:rPr>
          <w:rFonts w:ascii="宋体" w:eastAsia="宋体" w:hint="eastAsia"/>
        </w:rPr>
        <w:t>专科就诊，因病施药</w:t>
      </w:r>
    </w:p>
    <w:p>
      <w:pPr>
        <w:pStyle w:val="BodyText"/>
        <w:spacing w:line="297" w:lineRule="auto" w:before="71"/>
        <w:ind w:left="6580" w:right="1383" w:firstLine="2"/>
      </w:pPr>
      <w:r>
        <w:rPr/>
        <w:t>导致失眠的因素有很多！ </w:t>
      </w:r>
      <w:r>
        <w:rPr>
          <w:spacing w:val="-2"/>
        </w:rPr>
        <w:t>失眠可以作为独立疾病存在</w:t>
      </w:r>
    </w:p>
    <w:p>
      <w:pPr>
        <w:pStyle w:val="BodyText"/>
        <w:spacing w:line="297" w:lineRule="auto"/>
        <w:ind w:left="6112" w:right="1131"/>
        <w:jc w:val="both"/>
      </w:pPr>
      <w:r>
        <w:rPr/>
        <w:t>（失眠症），也可以与其他疾病共同存在（共病性失眠）或是其他疾病的症状之一。</w:t>
      </w:r>
    </w:p>
    <w:p>
      <w:pPr>
        <w:pStyle w:val="BodyText"/>
        <w:spacing w:line="297" w:lineRule="auto"/>
        <w:ind w:left="6112" w:right="1131" w:firstLine="468"/>
        <w:jc w:val="both"/>
      </w:pPr>
      <w:r>
        <w:rPr/>
        <w:t>而是否需要使用安眠药物，应</w:t>
      </w:r>
      <w:r>
        <w:rPr>
          <w:spacing w:val="-2"/>
        </w:rPr>
        <w:t>由专科医生在病因治疗、认知行为治疗和睡眠卫生教育的基础上，根据失眠症状、病程长短等选择不同</w:t>
      </w:r>
      <w:r>
        <w:rPr/>
        <w:t>安眠药物。</w:t>
      </w:r>
    </w:p>
    <w:p>
      <w:pPr>
        <w:pStyle w:val="Heading3"/>
        <w:spacing w:line="302" w:lineRule="exact"/>
        <w:ind w:left="6563"/>
        <w:rPr>
          <w:rFonts w:ascii="宋体" w:eastAsia="宋体" w:hint="eastAsia"/>
        </w:rPr>
      </w:pPr>
      <w:r>
        <w:rPr>
          <w:rFonts w:ascii="宋体" w:eastAsia="宋体" w:hint="eastAsia"/>
          <w:w w:val="95"/>
        </w:rPr>
        <w:t>谨记：</w:t>
      </w:r>
    </w:p>
    <w:p>
      <w:pPr>
        <w:pStyle w:val="BodyText"/>
        <w:spacing w:before="66"/>
        <w:ind w:left="6549"/>
      </w:pPr>
      <w:r>
        <w:rPr/>
        <w:t>不自行购药！</w:t>
      </w:r>
    </w:p>
    <w:p>
      <w:pPr>
        <w:pStyle w:val="BodyText"/>
        <w:spacing w:before="72"/>
        <w:ind w:left="6549"/>
      </w:pPr>
      <w:r>
        <w:rPr/>
        <w:t>不把药品给予他人使用！</w:t>
      </w:r>
    </w:p>
    <w:p>
      <w:pPr>
        <w:spacing w:line="295" w:lineRule="auto" w:before="74"/>
        <w:ind w:left="6549" w:right="1164" w:firstLine="0"/>
        <w:jc w:val="left"/>
        <w:rPr>
          <w:sz w:val="24"/>
        </w:rPr>
      </w:pPr>
      <w:r>
        <w:rPr>
          <w:b/>
          <w:sz w:val="24"/>
        </w:rPr>
        <w:t>个体化用药，不自行调整剂量</w:t>
      </w:r>
      <w:r>
        <w:rPr>
          <w:sz w:val="24"/>
        </w:rPr>
        <w:t>用药剂量遵循个体化原则，小</w:t>
      </w:r>
    </w:p>
    <w:p>
      <w:pPr>
        <w:pStyle w:val="BodyText"/>
        <w:spacing w:line="297" w:lineRule="auto" w:before="2"/>
        <w:ind w:left="6076" w:right="1167"/>
        <w:jc w:val="both"/>
      </w:pPr>
      <w:r>
        <w:rPr/>
        <w:t>剂量开始给药，达到有效剂量后不自行轻易调整药物剂量。</w:t>
      </w:r>
    </w:p>
    <w:p>
      <w:pPr>
        <w:pStyle w:val="BodyText"/>
        <w:spacing w:line="297" w:lineRule="auto"/>
        <w:ind w:left="6076" w:right="1167" w:firstLine="468"/>
        <w:jc w:val="both"/>
      </w:pPr>
      <w:r>
        <w:rPr/>
        <w:t>像苯二氮䓬类药物在低剂量时呈现镇静催眠作用，而药物超量时则出现呼吸抑制或低血压症状！</w:t>
      </w:r>
    </w:p>
    <w:p>
      <w:pPr>
        <w:pStyle w:val="Heading3"/>
        <w:spacing w:line="304" w:lineRule="exact"/>
        <w:ind w:left="6559"/>
        <w:rPr>
          <w:rFonts w:ascii="宋体" w:eastAsia="宋体" w:hint="eastAsia"/>
        </w:rPr>
      </w:pPr>
      <w:r>
        <w:rPr>
          <w:rFonts w:ascii="宋体" w:eastAsia="宋体" w:hint="eastAsia"/>
        </w:rPr>
        <w:t>谨记：</w:t>
      </w:r>
    </w:p>
    <w:p>
      <w:pPr>
        <w:pStyle w:val="BodyText"/>
        <w:spacing w:line="297" w:lineRule="auto" w:before="70"/>
        <w:ind w:left="6076" w:right="1407" w:firstLine="480"/>
      </w:pPr>
      <w:r>
        <w:rPr/>
        <w:t>遵医嘱服药，不自行调整剂量！</w:t>
      </w:r>
    </w:p>
    <w:p>
      <w:pPr>
        <w:pStyle w:val="Heading3"/>
        <w:spacing w:line="306" w:lineRule="exact"/>
        <w:ind w:left="6544"/>
        <w:rPr>
          <w:rFonts w:ascii="宋体" w:eastAsia="宋体" w:hint="eastAsia"/>
        </w:rPr>
      </w:pPr>
      <w:r>
        <w:rPr>
          <w:rFonts w:ascii="宋体" w:eastAsia="宋体" w:hint="eastAsia"/>
        </w:rPr>
        <w:t>谨遵医嘱，按需服药</w:t>
      </w:r>
    </w:p>
    <w:p>
      <w:pPr>
        <w:pStyle w:val="BodyText"/>
        <w:spacing w:line="297" w:lineRule="auto" w:before="72"/>
        <w:ind w:left="6076" w:right="1128" w:firstLine="480"/>
      </w:pPr>
      <w:r>
        <w:rPr/>
        <w:t>在需要的时候才服用安眠药。预期入睡困难时，镇静催眠药物在</w:t>
      </w:r>
      <w:r>
        <w:rPr>
          <w:spacing w:val="-15"/>
        </w:rPr>
        <w:t>上床前 </w:t>
      </w:r>
      <w:r>
        <w:rPr>
          <w:rFonts w:ascii="Calibri" w:hAnsi="Calibri" w:eastAsia="Calibri"/>
        </w:rPr>
        <w:t>5</w:t>
      </w:r>
      <w:r>
        <w:rPr/>
        <w:t>～</w:t>
      </w:r>
      <w:r>
        <w:rPr>
          <w:rFonts w:ascii="Calibri" w:hAnsi="Calibri" w:eastAsia="Calibri"/>
        </w:rPr>
        <w:t>10 </w:t>
      </w:r>
      <w:r>
        <w:rPr>
          <w:spacing w:val="-12"/>
        </w:rPr>
        <w:t>分钟服用；上床后 </w:t>
      </w:r>
      <w:r>
        <w:rPr>
          <w:rFonts w:ascii="Calibri" w:hAnsi="Calibri" w:eastAsia="Calibri"/>
          <w:spacing w:val="-6"/>
        </w:rPr>
        <w:t>30 </w:t>
      </w:r>
      <w:r>
        <w:rPr>
          <w:spacing w:val="-4"/>
        </w:rPr>
        <w:t>分钟后仍不能入睡时服用；当第 </w:t>
      </w:r>
      <w:r>
        <w:rPr>
          <w:rFonts w:ascii="Calibri" w:hAnsi="Calibri" w:eastAsia="Calibri"/>
        </w:rPr>
        <w:t>2 </w:t>
      </w:r>
      <w:r>
        <w:rPr/>
        <w:t>天日间有重要工作或事情时可于睡前服用；比通常起床时间≧</w:t>
      </w:r>
      <w:r>
        <w:rPr>
          <w:rFonts w:ascii="Calibri" w:hAnsi="Calibri" w:eastAsia="Calibri"/>
        </w:rPr>
        <w:t>5 </w:t>
      </w:r>
      <w:r>
        <w:rPr/>
        <w:t>小时醒来且无法再次入睡时服用（仅适合短半衰期的药物）。</w:t>
      </w:r>
    </w:p>
    <w:p>
      <w:pPr>
        <w:pStyle w:val="BodyText"/>
        <w:spacing w:line="295" w:lineRule="auto"/>
        <w:ind w:left="6076" w:right="1179" w:firstLine="468"/>
      </w:pPr>
      <w:r>
        <w:rPr/>
        <w:t>长期服药患者也应采取间断给药法：</w:t>
      </w:r>
    </w:p>
    <w:p>
      <w:pPr>
        <w:spacing w:after="0" w:line="295" w:lineRule="auto"/>
        <w:sectPr>
          <w:pgSz w:w="11910" w:h="16850"/>
          <w:pgMar w:header="906" w:footer="607" w:top="1100" w:bottom="800" w:left="1060" w:right="0"/>
        </w:sectPr>
      </w:pPr>
    </w:p>
    <w:p>
      <w:pPr>
        <w:pStyle w:val="BodyText"/>
        <w:spacing w:line="295" w:lineRule="auto" w:before="65"/>
        <w:ind w:right="1128" w:firstLine="468"/>
      </w:pPr>
      <w:r>
        <w:rPr/>
        <w:drawing>
          <wp:anchor distT="0" distB="0" distL="0" distR="0" allowOverlap="1" layoutInCell="1" locked="0" behindDoc="1" simplePos="0" relativeHeight="268360079">
            <wp:simplePos x="0" y="0"/>
            <wp:positionH relativeFrom="page">
              <wp:posOffset>4038600</wp:posOffset>
            </wp:positionH>
            <wp:positionV relativeFrom="paragraph">
              <wp:posOffset>459612</wp:posOffset>
            </wp:positionV>
            <wp:extent cx="3111500" cy="4241799"/>
            <wp:effectExtent l="0" t="0" r="0" b="0"/>
            <wp:wrapNone/>
            <wp:docPr id="7" name="image16.jpeg" descr=""/>
            <wp:cNvGraphicFramePr>
              <a:graphicFrameLocks noChangeAspect="1"/>
            </wp:cNvGraphicFramePr>
            <a:graphic>
              <a:graphicData uri="http://schemas.openxmlformats.org/drawingml/2006/picture">
                <pic:pic>
                  <pic:nvPicPr>
                    <pic:cNvPr id="8" name="image16.jpeg"/>
                    <pic:cNvPicPr/>
                  </pic:nvPicPr>
                  <pic:blipFill>
                    <a:blip r:embed="rId30" cstate="print"/>
                    <a:stretch>
                      <a:fillRect/>
                    </a:stretch>
                  </pic:blipFill>
                  <pic:spPr>
                    <a:xfrm>
                      <a:off x="0" y="0"/>
                      <a:ext cx="3111500" cy="4241799"/>
                    </a:xfrm>
                    <a:prstGeom prst="rect">
                      <a:avLst/>
                    </a:prstGeom>
                  </pic:spPr>
                </pic:pic>
              </a:graphicData>
            </a:graphic>
          </wp:anchor>
        </w:drawing>
      </w:r>
      <w:r>
        <w:rPr>
          <w:spacing w:val="-13"/>
        </w:rPr>
        <w:t>每周给药 </w:t>
      </w:r>
      <w:r>
        <w:rPr>
          <w:rFonts w:ascii="Calibri" w:eastAsia="Calibri"/>
        </w:rPr>
        <w:t>2</w:t>
      </w:r>
      <w:r>
        <w:rPr/>
        <w:t>～</w:t>
      </w:r>
      <w:r>
        <w:rPr>
          <w:rFonts w:ascii="Calibri" w:eastAsia="Calibri"/>
        </w:rPr>
        <w:t>4 </w:t>
      </w:r>
      <w:r>
        <w:rPr>
          <w:spacing w:val="-12"/>
        </w:rPr>
        <w:t>次，而不是每晚连续给药，且常规用药不超过 </w:t>
      </w:r>
      <w:r>
        <w:rPr>
          <w:rFonts w:ascii="Calibri" w:eastAsia="Calibri"/>
        </w:rPr>
        <w:t>3</w:t>
      </w:r>
      <w:r>
        <w:rPr/>
        <w:t>～</w:t>
      </w:r>
      <w:r>
        <w:rPr>
          <w:rFonts w:ascii="Calibri" w:eastAsia="Calibri"/>
        </w:rPr>
        <w:t>4 </w:t>
      </w:r>
      <w:r>
        <w:rPr>
          <w:spacing w:val="-15"/>
        </w:rPr>
        <w:t>周，服药超过 </w:t>
      </w:r>
      <w:r>
        <w:rPr>
          <w:rFonts w:ascii="Calibri" w:eastAsia="Calibri"/>
        </w:rPr>
        <w:t>4 </w:t>
      </w:r>
      <w:r>
        <w:rPr>
          <w:spacing w:val="-6"/>
        </w:rPr>
        <w:t>周症</w:t>
      </w:r>
      <w:r>
        <w:rPr/>
        <w:t>状仍未缓解的患者，应及时就医，重新评估睡</w:t>
      </w:r>
    </w:p>
    <w:p>
      <w:pPr>
        <w:pStyle w:val="BodyText"/>
        <w:spacing w:before="2"/>
      </w:pPr>
      <w:r>
        <w:rPr/>
        <w:t>眠情况。</w:t>
      </w:r>
    </w:p>
    <w:p>
      <w:pPr>
        <w:pStyle w:val="Heading3"/>
        <w:spacing w:before="74"/>
        <w:ind w:left="685"/>
        <w:rPr>
          <w:rFonts w:ascii="宋体" w:eastAsia="宋体" w:hint="eastAsia"/>
        </w:rPr>
      </w:pPr>
      <w:r>
        <w:rPr>
          <w:rFonts w:ascii="宋体" w:eastAsia="宋体" w:hint="eastAsia"/>
        </w:rPr>
        <w:t>不良反应，应对有方</w:t>
      </w:r>
    </w:p>
    <w:p>
      <w:pPr>
        <w:pStyle w:val="BodyText"/>
        <w:spacing w:line="295" w:lineRule="auto" w:before="72"/>
        <w:ind w:right="5839" w:firstLine="468"/>
      </w:pPr>
      <w:r>
        <w:rPr>
          <w:spacing w:val="-1"/>
        </w:rPr>
        <w:t>治疗前向医生或药师了解药物可能发生的</w:t>
      </w:r>
      <w:r>
        <w:rPr/>
        <w:t>不良反应及应对策略。</w:t>
      </w:r>
    </w:p>
    <w:p>
      <w:pPr>
        <w:pStyle w:val="Heading3"/>
        <w:spacing w:before="4"/>
        <w:ind w:left="685"/>
        <w:rPr>
          <w:rFonts w:ascii="宋体" w:eastAsia="宋体" w:hint="eastAsia"/>
        </w:rPr>
      </w:pPr>
      <w:r>
        <w:rPr>
          <w:rFonts w:ascii="宋体" w:eastAsia="宋体" w:hint="eastAsia"/>
          <w:w w:val="95"/>
        </w:rPr>
        <w:t>减量、停药需逐步</w:t>
      </w:r>
    </w:p>
    <w:p>
      <w:pPr>
        <w:pStyle w:val="BodyText"/>
        <w:spacing w:line="295" w:lineRule="auto" w:before="72"/>
        <w:ind w:right="5507" w:firstLine="468"/>
      </w:pPr>
      <w:r>
        <w:rPr/>
        <w:t>由于长期服用易产生药物依赖及停药反弹， 停药应逐步减停，有时需数周及数月。</w:t>
      </w:r>
    </w:p>
    <w:p>
      <w:pPr>
        <w:pStyle w:val="BodyText"/>
        <w:spacing w:before="12"/>
        <w:ind w:left="0"/>
        <w:rPr>
          <w:sz w:val="29"/>
        </w:rPr>
      </w:pPr>
    </w:p>
    <w:p>
      <w:pPr>
        <w:pStyle w:val="BodyText"/>
        <w:spacing w:line="295" w:lineRule="auto"/>
        <w:ind w:right="5827" w:firstLine="480"/>
      </w:pPr>
      <w:r>
        <w:rPr/>
        <w:t>本文由福建医科大学附属第一医院药学部邹贺供稿</w:t>
      </w:r>
    </w:p>
    <w:p>
      <w:pPr>
        <w:pStyle w:val="BodyText"/>
        <w:spacing w:before="11"/>
        <w:ind w:left="0"/>
        <w:rPr>
          <w:sz w:val="8"/>
        </w:rPr>
      </w:pPr>
      <w:r>
        <w:rPr/>
        <w:drawing>
          <wp:anchor distT="0" distB="0" distL="0" distR="0" allowOverlap="1" layoutInCell="1" locked="0" behindDoc="0" simplePos="0" relativeHeight="174">
            <wp:simplePos x="0" y="0"/>
            <wp:positionH relativeFrom="page">
              <wp:posOffset>1097289</wp:posOffset>
            </wp:positionH>
            <wp:positionV relativeFrom="paragraph">
              <wp:posOffset>96988</wp:posOffset>
            </wp:positionV>
            <wp:extent cx="2633409" cy="1610868"/>
            <wp:effectExtent l="0" t="0" r="0" b="0"/>
            <wp:wrapTopAndBottom/>
            <wp:docPr id="9" name="image17.jpeg" descr=""/>
            <wp:cNvGraphicFramePr>
              <a:graphicFrameLocks noChangeAspect="1"/>
            </wp:cNvGraphicFramePr>
            <a:graphic>
              <a:graphicData uri="http://schemas.openxmlformats.org/drawingml/2006/picture">
                <pic:pic>
                  <pic:nvPicPr>
                    <pic:cNvPr id="10" name="image17.jpeg"/>
                    <pic:cNvPicPr/>
                  </pic:nvPicPr>
                  <pic:blipFill>
                    <a:blip r:embed="rId31" cstate="print"/>
                    <a:stretch>
                      <a:fillRect/>
                    </a:stretch>
                  </pic:blipFill>
                  <pic:spPr>
                    <a:xfrm>
                      <a:off x="0" y="0"/>
                      <a:ext cx="2633409" cy="1610868"/>
                    </a:xfrm>
                    <a:prstGeom prst="rect">
                      <a:avLst/>
                    </a:prstGeom>
                  </pic:spPr>
                </pic:pic>
              </a:graphicData>
            </a:graphic>
          </wp:anchor>
        </w:drawing>
      </w:r>
    </w:p>
    <w:p>
      <w:pPr>
        <w:pStyle w:val="BodyText"/>
        <w:ind w:left="0"/>
      </w:pPr>
    </w:p>
    <w:p>
      <w:pPr>
        <w:pStyle w:val="BodyText"/>
        <w:spacing w:before="2"/>
        <w:ind w:left="0"/>
        <w:rPr>
          <w:sz w:val="26"/>
        </w:rPr>
      </w:pPr>
    </w:p>
    <w:p>
      <w:pPr>
        <w:pStyle w:val="Heading2"/>
        <w:spacing w:before="1"/>
        <w:ind w:left="2554"/>
      </w:pPr>
      <w:bookmarkStart w:name="_TOC_250007" w:id="38"/>
      <w:bookmarkEnd w:id="38"/>
      <w:r>
        <w:rPr/>
        <w:t>耳鸣是一种很玄的疾病，如影随行</w:t>
      </w:r>
    </w:p>
    <w:p>
      <w:pPr>
        <w:pStyle w:val="Heading3"/>
        <w:spacing w:before="145"/>
        <w:ind w:left="6823"/>
      </w:pPr>
      <w:r>
        <w:rPr>
          <w:color w:val="FF0000"/>
        </w:rPr>
        <w:t>（来源：中国医学论坛报）</w:t>
      </w:r>
    </w:p>
    <w:p>
      <w:pPr>
        <w:pStyle w:val="BodyText"/>
        <w:spacing w:line="297" w:lineRule="auto" w:before="96"/>
        <w:ind w:left="5065" w:right="1938"/>
      </w:pPr>
      <w:r>
        <w:rPr/>
        <w:drawing>
          <wp:anchor distT="0" distB="0" distL="0" distR="0" allowOverlap="1" layoutInCell="1" locked="0" behindDoc="1" simplePos="0" relativeHeight="268360055">
            <wp:simplePos x="0" y="0"/>
            <wp:positionH relativeFrom="page">
              <wp:posOffset>1087137</wp:posOffset>
            </wp:positionH>
            <wp:positionV relativeFrom="paragraph">
              <wp:posOffset>231525</wp:posOffset>
            </wp:positionV>
            <wp:extent cx="2181460" cy="2387643"/>
            <wp:effectExtent l="0" t="0" r="0" b="0"/>
            <wp:wrapNone/>
            <wp:docPr id="11" name="image18.jpeg" descr=""/>
            <wp:cNvGraphicFramePr>
              <a:graphicFrameLocks noChangeAspect="1"/>
            </wp:cNvGraphicFramePr>
            <a:graphic>
              <a:graphicData uri="http://schemas.openxmlformats.org/drawingml/2006/picture">
                <pic:pic>
                  <pic:nvPicPr>
                    <pic:cNvPr id="12" name="image18.jpeg"/>
                    <pic:cNvPicPr/>
                  </pic:nvPicPr>
                  <pic:blipFill>
                    <a:blip r:embed="rId32" cstate="print"/>
                    <a:stretch>
                      <a:fillRect/>
                    </a:stretch>
                  </pic:blipFill>
                  <pic:spPr>
                    <a:xfrm>
                      <a:off x="0" y="0"/>
                      <a:ext cx="2181460" cy="2387643"/>
                    </a:xfrm>
                    <a:prstGeom prst="rect">
                      <a:avLst/>
                    </a:prstGeom>
                  </pic:spPr>
                </pic:pic>
              </a:graphicData>
            </a:graphic>
          </wp:anchor>
        </w:drawing>
      </w:r>
      <w:r>
        <w:rPr/>
        <w:t>耳鸣是一种很玄的疾病，如影随形， 无声又无息出没在耳底，</w:t>
      </w:r>
    </w:p>
    <w:p>
      <w:pPr>
        <w:pStyle w:val="BodyText"/>
        <w:spacing w:line="306" w:lineRule="exact"/>
        <w:ind w:left="5065"/>
      </w:pPr>
      <w:r>
        <w:rPr/>
        <w:t>转眼</w:t>
      </w:r>
      <w:r>
        <w:rPr>
          <w:rFonts w:ascii="Calibri" w:eastAsia="Calibri"/>
        </w:rPr>
        <w:t>~</w:t>
      </w:r>
      <w:r>
        <w:rPr/>
        <w:t>吞没我在噪音里，</w:t>
      </w:r>
    </w:p>
    <w:p>
      <w:pPr>
        <w:pStyle w:val="BodyText"/>
        <w:spacing w:before="71"/>
        <w:ind w:left="5065"/>
      </w:pPr>
      <w:r>
        <w:rPr>
          <w:w w:val="110"/>
        </w:rPr>
        <w:t>我无力抗拒 特别是夜里„„</w:t>
      </w:r>
    </w:p>
    <w:p>
      <w:pPr>
        <w:pStyle w:val="BodyText"/>
        <w:spacing w:before="74"/>
        <w:ind w:left="5065"/>
      </w:pPr>
      <w:r>
        <w:rPr/>
        <w:t>相信很多耳鸣患者都有这样的经历，</w:t>
      </w:r>
    </w:p>
    <w:p>
      <w:pPr>
        <w:pStyle w:val="BodyText"/>
        <w:spacing w:line="295" w:lineRule="auto" w:before="72"/>
        <w:ind w:left="4597" w:right="1218" w:firstLine="468"/>
      </w:pPr>
      <w:r>
        <w:rPr/>
        <w:t>当你半夜三更睡不着，周围静悄悄又黑洞洞的时候，</w:t>
      </w:r>
    </w:p>
    <w:p>
      <w:pPr>
        <w:pStyle w:val="BodyText"/>
        <w:spacing w:line="295" w:lineRule="auto" w:before="4"/>
        <w:ind w:left="5065" w:right="1218"/>
      </w:pPr>
      <w:r>
        <w:rPr/>
        <w:t>或者是头天熬了夜，脑袋有点昏的时候， </w:t>
      </w:r>
      <w:r>
        <w:rPr>
          <w:spacing w:val="-1"/>
        </w:rPr>
        <w:t>或者是你感冒了，刚刚吃了药准备躺会儿的</w:t>
      </w:r>
    </w:p>
    <w:p>
      <w:pPr>
        <w:pStyle w:val="BodyText"/>
        <w:spacing w:before="2"/>
        <w:ind w:left="4597"/>
      </w:pPr>
      <w:r>
        <w:rPr/>
        <w:t>时候，这个声音就来了！</w:t>
      </w:r>
    </w:p>
    <w:p>
      <w:pPr>
        <w:pStyle w:val="BodyText"/>
        <w:spacing w:line="295" w:lineRule="auto" w:before="75"/>
        <w:ind w:right="1218" w:firstLine="4848"/>
      </w:pPr>
      <w:r>
        <w:rPr/>
        <w:t>有时候像电视机没有信号的吱吱吱，有时候</w:t>
      </w:r>
      <w:r>
        <w:rPr>
          <w:w w:val="105"/>
        </w:rPr>
        <w:t>像蚊子飞的嗡嗡嗡，有时候还像弱弱的电流声嘤嘤嘤„„嘤嘤嘤„„嘤嘤嘤„„</w:t>
      </w:r>
    </w:p>
    <w:p>
      <w:pPr>
        <w:pStyle w:val="BodyText"/>
        <w:spacing w:before="2"/>
        <w:ind w:left="685"/>
      </w:pPr>
      <w:r>
        <w:rPr/>
        <w:t>耳鸣这件事，有些人的症状轻，偶尔发作，完全不影响生活。</w:t>
      </w:r>
    </w:p>
    <w:p>
      <w:pPr>
        <w:pStyle w:val="BodyText"/>
        <w:spacing w:line="295" w:lineRule="auto" w:before="74"/>
        <w:ind w:right="1127" w:firstLine="468"/>
      </w:pPr>
      <w:r>
        <w:rPr>
          <w:spacing w:val="-7"/>
        </w:rPr>
        <w:t>但有些人症状比较严重，不仅影响日常生活，加上治疗有难度，甚至会引起失眠、焦虑</w:t>
      </w:r>
      <w:r>
        <w:rPr/>
        <w:t>等问题。</w:t>
      </w:r>
    </w:p>
    <w:p>
      <w:pPr>
        <w:spacing w:after="0" w:line="295" w:lineRule="auto"/>
        <w:sectPr>
          <w:pgSz w:w="11910" w:h="16850"/>
          <w:pgMar w:header="906" w:footer="607" w:top="1100" w:bottom="800" w:left="1060" w:right="0"/>
        </w:sectPr>
      </w:pPr>
    </w:p>
    <w:p>
      <w:pPr>
        <w:pStyle w:val="BodyText"/>
        <w:spacing w:line="295" w:lineRule="auto" w:before="65"/>
        <w:ind w:right="1203" w:firstLine="468"/>
      </w:pPr>
      <w:r>
        <w:rPr/>
        <w:t>今天，我们就请四川大学华西医院耳鼻咽喉</w:t>
      </w:r>
      <w:r>
        <w:rPr>
          <w:rFonts w:ascii="Calibri" w:eastAsia="Calibri"/>
        </w:rPr>
        <w:t>-</w:t>
      </w:r>
      <w:r>
        <w:rPr/>
        <w:t>头颈外科听力中心教授、华西临床医学院听力与言语康复学系郑芸主任来跟大家聊一聊，关于耳鸣这件事。</w:t>
      </w:r>
    </w:p>
    <w:p>
      <w:pPr>
        <w:pStyle w:val="Heading3"/>
        <w:spacing w:before="2"/>
        <w:ind w:left="685"/>
        <w:rPr>
          <w:rFonts w:ascii="宋体" w:eastAsia="宋体" w:hint="eastAsia"/>
        </w:rPr>
      </w:pPr>
      <w:r>
        <w:rPr>
          <w:rFonts w:ascii="宋体" w:eastAsia="宋体" w:hint="eastAsia"/>
        </w:rPr>
        <w:t>一、关于耳鸣</w:t>
      </w:r>
    </w:p>
    <w:p>
      <w:pPr>
        <w:pStyle w:val="ListParagraph"/>
        <w:numPr>
          <w:ilvl w:val="0"/>
          <w:numId w:val="9"/>
        </w:numPr>
        <w:tabs>
          <w:tab w:pos="870" w:val="left" w:leader="none"/>
        </w:tabs>
        <w:spacing w:line="240" w:lineRule="auto" w:before="74" w:after="0"/>
        <w:ind w:left="869" w:right="0" w:hanging="184"/>
        <w:jc w:val="left"/>
        <w:rPr>
          <w:sz w:val="24"/>
        </w:rPr>
      </w:pPr>
      <w:r>
        <w:rPr>
          <w:sz w:val="24"/>
        </w:rPr>
        <w:t>什么是耳鸣</w:t>
      </w:r>
    </w:p>
    <w:p>
      <w:pPr>
        <w:pStyle w:val="BodyText"/>
        <w:spacing w:before="72"/>
        <w:ind w:left="685"/>
      </w:pPr>
      <w:r>
        <w:rPr/>
        <w:t>耳鸣是指在没有任何客观声响的情况下，人主观上却感觉有声音。</w:t>
      </w:r>
    </w:p>
    <w:p>
      <w:pPr>
        <w:pStyle w:val="BodyText"/>
        <w:spacing w:line="297" w:lineRule="auto" w:before="71"/>
        <w:ind w:left="5012" w:right="1014" w:firstLine="468"/>
      </w:pPr>
      <w:r>
        <w:rPr/>
        <w:drawing>
          <wp:anchor distT="0" distB="0" distL="0" distR="0" allowOverlap="1" layoutInCell="1" locked="0" behindDoc="0" simplePos="0" relativeHeight="5272">
            <wp:simplePos x="0" y="0"/>
            <wp:positionH relativeFrom="page">
              <wp:posOffset>1103630</wp:posOffset>
            </wp:positionH>
            <wp:positionV relativeFrom="paragraph">
              <wp:posOffset>176844</wp:posOffset>
            </wp:positionV>
            <wp:extent cx="2557856" cy="2018984"/>
            <wp:effectExtent l="0" t="0" r="0" b="0"/>
            <wp:wrapNone/>
            <wp:docPr id="13" name="image19.jpeg" descr=""/>
            <wp:cNvGraphicFramePr>
              <a:graphicFrameLocks noChangeAspect="1"/>
            </wp:cNvGraphicFramePr>
            <a:graphic>
              <a:graphicData uri="http://schemas.openxmlformats.org/drawingml/2006/picture">
                <pic:pic>
                  <pic:nvPicPr>
                    <pic:cNvPr id="14" name="image19.jpeg"/>
                    <pic:cNvPicPr/>
                  </pic:nvPicPr>
                  <pic:blipFill>
                    <a:blip r:embed="rId33" cstate="print"/>
                    <a:stretch>
                      <a:fillRect/>
                    </a:stretch>
                  </pic:blipFill>
                  <pic:spPr>
                    <a:xfrm>
                      <a:off x="0" y="0"/>
                      <a:ext cx="2557856" cy="2018984"/>
                    </a:xfrm>
                    <a:prstGeom prst="rect">
                      <a:avLst/>
                    </a:prstGeom>
                  </pic:spPr>
                </pic:pic>
              </a:graphicData>
            </a:graphic>
          </wp:anchor>
        </w:drawing>
      </w:r>
      <w:r>
        <w:rPr>
          <w:spacing w:val="-8"/>
        </w:rPr>
        <w:t>比如文章一开头提到的，明明没有开任何</w:t>
      </w:r>
      <w:r>
        <w:rPr>
          <w:spacing w:val="-12"/>
        </w:rPr>
        <w:t>电器，但却可以感觉到电流声，明明旁边没有</w:t>
      </w:r>
      <w:r>
        <w:rPr>
          <w:spacing w:val="-13"/>
        </w:rPr>
        <w:t>蜜蜂、蚊虫在飞，但却感觉自己听得到蜜蜂、</w:t>
      </w:r>
      <w:r>
        <w:rPr/>
        <w:t>蚊虫的声音。</w:t>
      </w:r>
    </w:p>
    <w:p>
      <w:pPr>
        <w:pStyle w:val="BodyText"/>
        <w:spacing w:line="297" w:lineRule="auto"/>
        <w:ind w:left="5012" w:right="1014" w:firstLine="468"/>
      </w:pPr>
      <w:r>
        <w:rPr/>
        <w:t>根据美国最新版（</w:t>
      </w:r>
      <w:r>
        <w:rPr>
          <w:rFonts w:ascii="Calibri" w:eastAsia="Calibri"/>
        </w:rPr>
        <w:t>2012</w:t>
      </w:r>
      <w:r>
        <w:rPr/>
        <w:t>）《临床耳鸣实践指南》综合多项高水平研究的数据报告显示， 大概全世界有 </w:t>
      </w:r>
      <w:r>
        <w:rPr>
          <w:rFonts w:ascii="Calibri" w:eastAsia="Calibri"/>
        </w:rPr>
        <w:t>15~20%</w:t>
      </w:r>
      <w:r>
        <w:rPr/>
        <w:t>的人有耳鸣。（对！全世界有至少 </w:t>
      </w:r>
      <w:r>
        <w:rPr>
          <w:rFonts w:ascii="Calibri" w:eastAsia="Calibri"/>
        </w:rPr>
        <w:t>10 </w:t>
      </w:r>
      <w:r>
        <w:rPr/>
        <w:t>亿人耳鸣，是不是一下子就觉得不孤独了？）</w:t>
      </w:r>
    </w:p>
    <w:p>
      <w:pPr>
        <w:pStyle w:val="BodyText"/>
        <w:spacing w:before="12"/>
        <w:ind w:left="0"/>
        <w:rPr>
          <w:sz w:val="28"/>
        </w:rPr>
      </w:pPr>
    </w:p>
    <w:p>
      <w:pPr>
        <w:pStyle w:val="ListParagraph"/>
        <w:numPr>
          <w:ilvl w:val="0"/>
          <w:numId w:val="9"/>
        </w:numPr>
        <w:tabs>
          <w:tab w:pos="870" w:val="left" w:leader="none"/>
        </w:tabs>
        <w:spacing w:line="240" w:lineRule="auto" w:before="0" w:after="0"/>
        <w:ind w:left="869" w:right="0" w:hanging="184"/>
        <w:jc w:val="left"/>
        <w:rPr>
          <w:sz w:val="24"/>
        </w:rPr>
      </w:pPr>
      <w:r>
        <w:rPr>
          <w:sz w:val="24"/>
        </w:rPr>
        <w:t>耳鸣会听到哪些声音？</w:t>
      </w:r>
    </w:p>
    <w:p>
      <w:pPr>
        <w:pStyle w:val="BodyText"/>
        <w:spacing w:line="295" w:lineRule="auto" w:before="72"/>
        <w:ind w:right="1127" w:firstLine="480"/>
      </w:pPr>
      <w:r>
        <w:rPr>
          <w:spacing w:val="-7"/>
        </w:rPr>
        <w:t>根据医生从患者的描述中发现，耳鸣患者听到的声音类型以及来源都不太一样，甚至有</w:t>
      </w:r>
      <w:r>
        <w:rPr/>
        <w:t>时候根本就描述不清楚耳朵里鸣的到底是什么声音！</w:t>
      </w:r>
    </w:p>
    <w:p>
      <w:pPr>
        <w:pStyle w:val="BodyText"/>
        <w:spacing w:line="295" w:lineRule="auto" w:before="5"/>
        <w:ind w:right="1127" w:firstLine="468"/>
      </w:pPr>
      <w:r>
        <w:rPr>
          <w:spacing w:val="-6"/>
        </w:rPr>
        <w:t>除了我们上面形容的那些电流声啊、蜜蜂嗡嗡声，还可以有蝉鸣、尖锐的嘶嘶声等。音</w:t>
      </w:r>
      <w:r>
        <w:rPr/>
        <w:t>量呢有时候大有时候小，有时候还要变个调，鸣累了偶尔还会歇几口气再响！</w:t>
      </w:r>
    </w:p>
    <w:p>
      <w:pPr>
        <w:pStyle w:val="BodyText"/>
        <w:spacing w:before="2"/>
        <w:ind w:left="685"/>
      </w:pPr>
      <w:r>
        <w:rPr/>
        <w:t>嗯</w:t>
      </w:r>
      <w:r>
        <w:rPr>
          <w:rFonts w:ascii="Calibri" w:hAnsi="Calibri" w:eastAsia="Calibri"/>
        </w:rPr>
        <w:t>~</w:t>
      </w:r>
      <w:r>
        <w:rPr/>
        <w:t>是人工智能·交响曲没错了！</w:t>
      </w:r>
    </w:p>
    <w:p>
      <w:pPr>
        <w:pStyle w:val="BodyText"/>
        <w:spacing w:line="295" w:lineRule="auto" w:before="74"/>
        <w:ind w:right="1009" w:firstLine="468"/>
      </w:pPr>
      <w:r>
        <w:rPr>
          <w:spacing w:val="-14"/>
        </w:rPr>
        <w:t>至于这些声音在哪里响，也是不一样的——有时候感觉是在耳朵里、有时候又在脑壳里、</w:t>
      </w:r>
      <w:r>
        <w:rPr/>
        <w:t>甚至还可能在空气中。</w:t>
      </w:r>
    </w:p>
    <w:p>
      <w:pPr>
        <w:pStyle w:val="BodyText"/>
        <w:spacing w:line="297" w:lineRule="auto" w:before="2"/>
        <w:ind w:left="685" w:right="1759"/>
      </w:pPr>
      <w:r>
        <w:rPr/>
        <w:t>不管怎么说，这些声音只有你个人才听得到，而且越安静，你觉得耳鸣越大声。问</w:t>
      </w:r>
      <w:r>
        <w:rPr>
          <w:rFonts w:ascii="Calibri" w:hAnsi="Calibri" w:eastAsia="Calibri"/>
        </w:rPr>
        <w:t>:</w:t>
      </w:r>
      <w:r>
        <w:rPr/>
        <w:t>“医生，为什么有时候反而越闹我觉得耳鸣越大声喃？！”</w:t>
      </w:r>
    </w:p>
    <w:p>
      <w:pPr>
        <w:pStyle w:val="BodyText"/>
        <w:spacing w:line="306" w:lineRule="exact"/>
        <w:ind w:left="685"/>
      </w:pPr>
      <w:r>
        <w:rPr/>
        <w:t>答：这说明你就不止有耳鸣的问题了，还可能有对声音过敏的问题！</w:t>
      </w:r>
    </w:p>
    <w:p>
      <w:pPr>
        <w:pStyle w:val="ListParagraph"/>
        <w:numPr>
          <w:ilvl w:val="0"/>
          <w:numId w:val="9"/>
        </w:numPr>
        <w:tabs>
          <w:tab w:pos="870" w:val="left" w:leader="none"/>
        </w:tabs>
        <w:spacing w:line="240" w:lineRule="auto" w:before="71" w:after="0"/>
        <w:ind w:left="869" w:right="0" w:hanging="184"/>
        <w:jc w:val="left"/>
        <w:rPr>
          <w:sz w:val="24"/>
        </w:rPr>
      </w:pPr>
      <w:r>
        <w:rPr>
          <w:spacing w:val="-21"/>
          <w:sz w:val="24"/>
        </w:rPr>
        <w:t>幻听 </w:t>
      </w:r>
      <w:r>
        <w:rPr>
          <w:rFonts w:ascii="Calibri" w:eastAsia="Calibri"/>
          <w:sz w:val="24"/>
        </w:rPr>
        <w:t>VS</w:t>
      </w:r>
      <w:r>
        <w:rPr>
          <w:rFonts w:ascii="Calibri" w:eastAsia="Calibri"/>
          <w:spacing w:val="5"/>
          <w:sz w:val="24"/>
        </w:rPr>
        <w:t> </w:t>
      </w:r>
      <w:r>
        <w:rPr>
          <w:sz w:val="24"/>
        </w:rPr>
        <w:t>耳鸣</w:t>
      </w:r>
    </w:p>
    <w:p>
      <w:pPr>
        <w:pStyle w:val="BodyText"/>
        <w:spacing w:line="295" w:lineRule="auto" w:before="74"/>
        <w:ind w:right="1132" w:firstLine="468"/>
      </w:pPr>
      <w:r>
        <w:rPr/>
        <w:t>问</w:t>
      </w:r>
      <w:r>
        <w:rPr>
          <w:rFonts w:ascii="Calibri" w:hAnsi="Calibri" w:eastAsia="Calibri"/>
          <w:spacing w:val="1"/>
        </w:rPr>
        <w:t>: </w:t>
      </w:r>
      <w:r>
        <w:rPr>
          <w:spacing w:val="-6"/>
        </w:rPr>
        <w:t>“医生，那我们隔壁有个邻居之前老说听到有人喊她、说他坏话，其实没有人这样</w:t>
      </w:r>
      <w:r>
        <w:rPr/>
        <w:t>做，是不是也是耳鸣呢？”</w:t>
      </w:r>
    </w:p>
    <w:p>
      <w:pPr>
        <w:pStyle w:val="BodyText"/>
        <w:spacing w:before="2"/>
        <w:ind w:left="685"/>
      </w:pPr>
      <w:r>
        <w:rPr/>
        <w:t>答：不是！这种情况多半是属于幻听。</w:t>
      </w:r>
    </w:p>
    <w:p>
      <w:pPr>
        <w:pStyle w:val="BodyText"/>
        <w:spacing w:before="74"/>
        <w:ind w:left="685"/>
      </w:pPr>
      <w:r>
        <w:rPr/>
        <w:t>耳鸣者感觉到的声音一定都是没有实质性内容的单调声音；而幻听就丰富了，比如可以</w:t>
      </w:r>
    </w:p>
    <w:p>
      <w:pPr>
        <w:pStyle w:val="BodyText"/>
        <w:spacing w:line="297" w:lineRule="auto" w:before="72"/>
        <w:ind w:left="4192" w:right="1129"/>
        <w:jc w:val="both"/>
      </w:pPr>
      <w:r>
        <w:rPr/>
        <w:drawing>
          <wp:anchor distT="0" distB="0" distL="0" distR="0" allowOverlap="1" layoutInCell="1" locked="0" behindDoc="0" simplePos="0" relativeHeight="5296">
            <wp:simplePos x="0" y="0"/>
            <wp:positionH relativeFrom="page">
              <wp:posOffset>1004862</wp:posOffset>
            </wp:positionH>
            <wp:positionV relativeFrom="paragraph">
              <wp:posOffset>145795</wp:posOffset>
            </wp:positionV>
            <wp:extent cx="2081470" cy="1854200"/>
            <wp:effectExtent l="0" t="0" r="0" b="0"/>
            <wp:wrapNone/>
            <wp:docPr id="15" name="image20.jpeg" descr=""/>
            <wp:cNvGraphicFramePr>
              <a:graphicFrameLocks noChangeAspect="1"/>
            </wp:cNvGraphicFramePr>
            <a:graphic>
              <a:graphicData uri="http://schemas.openxmlformats.org/drawingml/2006/picture">
                <pic:pic>
                  <pic:nvPicPr>
                    <pic:cNvPr id="16" name="image20.jpeg"/>
                    <pic:cNvPicPr/>
                  </pic:nvPicPr>
                  <pic:blipFill>
                    <a:blip r:embed="rId34" cstate="print"/>
                    <a:stretch>
                      <a:fillRect/>
                    </a:stretch>
                  </pic:blipFill>
                  <pic:spPr>
                    <a:xfrm>
                      <a:off x="0" y="0"/>
                      <a:ext cx="2081470" cy="1854200"/>
                    </a:xfrm>
                    <a:prstGeom prst="rect">
                      <a:avLst/>
                    </a:prstGeom>
                  </pic:spPr>
                </pic:pic>
              </a:graphicData>
            </a:graphic>
          </wp:anchor>
        </w:drawing>
      </w:r>
      <w:r>
        <w:rPr>
          <w:spacing w:val="-18"/>
        </w:rPr>
        <w:t>有音乐啊、唱歌啊、有人说话或对话等。如果有幻听， </w:t>
      </w:r>
      <w:r>
        <w:rPr>
          <w:spacing w:val="-1"/>
        </w:rPr>
        <w:t>就不是耳鼻喉科可以搞定的了，建议去心理门诊或者</w:t>
      </w:r>
      <w:r>
        <w:rPr/>
        <w:t>是精神专科找医生看看哦。</w:t>
      </w:r>
    </w:p>
    <w:p>
      <w:pPr>
        <w:pStyle w:val="ListParagraph"/>
        <w:numPr>
          <w:ilvl w:val="0"/>
          <w:numId w:val="9"/>
        </w:numPr>
        <w:tabs>
          <w:tab w:pos="4845" w:val="left" w:leader="none"/>
        </w:tabs>
        <w:spacing w:line="304" w:lineRule="exact" w:before="0" w:after="0"/>
        <w:ind w:left="4844" w:right="0" w:hanging="184"/>
        <w:jc w:val="left"/>
        <w:rPr>
          <w:sz w:val="24"/>
        </w:rPr>
      </w:pPr>
      <w:r>
        <w:rPr>
          <w:sz w:val="24"/>
        </w:rPr>
        <w:t>耳鸣的影响</w:t>
      </w:r>
    </w:p>
    <w:p>
      <w:pPr>
        <w:pStyle w:val="BodyText"/>
        <w:spacing w:line="297" w:lineRule="auto" w:before="72"/>
        <w:ind w:left="4192" w:right="1131" w:firstLine="468"/>
        <w:jc w:val="both"/>
      </w:pPr>
      <w:r>
        <w:rPr/>
        <w:t>轻度的耳鸣，通常声音较小，对日常生活没有什么影响，一般只在很安静的时候耳鸣者才会注意到， 所以影响不大！</w:t>
      </w:r>
    </w:p>
    <w:p>
      <w:pPr>
        <w:spacing w:after="0" w:line="297" w:lineRule="auto"/>
        <w:jc w:val="both"/>
        <w:sectPr>
          <w:pgSz w:w="11910" w:h="16850"/>
          <w:pgMar w:header="906" w:footer="607" w:top="1100" w:bottom="720" w:left="1060" w:right="0"/>
        </w:sectPr>
      </w:pPr>
    </w:p>
    <w:p>
      <w:pPr>
        <w:pStyle w:val="BodyText"/>
        <w:spacing w:before="65"/>
        <w:ind w:left="685"/>
      </w:pPr>
      <w:r>
        <w:rPr/>
        <w:t>而比较严重的耳鸣，患者自己觉得耳鸣的声音太大影响了日常生活。</w:t>
      </w:r>
    </w:p>
    <w:p>
      <w:pPr>
        <w:pStyle w:val="BodyText"/>
        <w:spacing w:line="295" w:lineRule="auto" w:before="72"/>
        <w:ind w:right="1127" w:firstLine="468"/>
      </w:pPr>
      <w:r>
        <w:rPr>
          <w:spacing w:val="-10"/>
        </w:rPr>
        <w:t>嗯，没错，确实是他们自己觉得！事实上国内外专家学者反复测过，耳鸣声的实际响度</w:t>
      </w:r>
      <w:r>
        <w:rPr>
          <w:spacing w:val="-13"/>
        </w:rPr>
        <w:t>通常只有 </w:t>
      </w:r>
      <w:r>
        <w:rPr>
          <w:rFonts w:ascii="Calibri" w:eastAsia="Calibri"/>
        </w:rPr>
        <w:t>10 </w:t>
      </w:r>
      <w:r>
        <w:rPr>
          <w:spacing w:val="-1"/>
        </w:rPr>
        <w:t>分贝左右，差不多就是讲悄悄话那么大点儿声。</w:t>
      </w:r>
    </w:p>
    <w:p>
      <w:pPr>
        <w:pStyle w:val="BodyText"/>
        <w:spacing w:line="295" w:lineRule="auto" w:before="4"/>
        <w:ind w:right="1045" w:firstLine="468"/>
      </w:pPr>
      <w:r>
        <w:rPr/>
        <w:t>因为自己老是去关注耳鸣的问题，随时都觉得在受它的影响，不仅担心、着急，严重的时候还会引起焦虑、抑郁，陷入情绪的恶性循环之中。</w:t>
      </w:r>
    </w:p>
    <w:p>
      <w:pPr>
        <w:pStyle w:val="Heading3"/>
        <w:spacing w:before="2"/>
        <w:ind w:left="685"/>
        <w:rPr>
          <w:rFonts w:ascii="宋体" w:eastAsia="宋体" w:hint="eastAsia"/>
        </w:rPr>
      </w:pPr>
      <w:r>
        <w:rPr>
          <w:rFonts w:ascii="宋体" w:eastAsia="宋体" w:hint="eastAsia"/>
        </w:rPr>
        <w:t>二、耳鸣的类型及病因</w:t>
      </w:r>
    </w:p>
    <w:p>
      <w:pPr>
        <w:pStyle w:val="BodyText"/>
        <w:spacing w:before="74"/>
        <w:ind w:left="685"/>
      </w:pPr>
      <w:r>
        <w:rPr/>
        <w:t>我们简单把耳鸣分为下面两种类型：继发性耳鸣、原发性耳鸣。</w:t>
      </w:r>
    </w:p>
    <w:p>
      <w:pPr>
        <w:pStyle w:val="ListParagraph"/>
        <w:numPr>
          <w:ilvl w:val="0"/>
          <w:numId w:val="10"/>
        </w:numPr>
        <w:tabs>
          <w:tab w:pos="870" w:val="left" w:leader="none"/>
        </w:tabs>
        <w:spacing w:line="240" w:lineRule="auto" w:before="72" w:after="0"/>
        <w:ind w:left="869" w:right="0" w:hanging="184"/>
        <w:jc w:val="left"/>
        <w:rPr>
          <w:sz w:val="24"/>
        </w:rPr>
      </w:pPr>
      <w:r>
        <w:rPr>
          <w:sz w:val="24"/>
        </w:rPr>
        <w:t>继发性耳鸣</w:t>
      </w:r>
    </w:p>
    <w:p>
      <w:pPr>
        <w:pStyle w:val="BodyText"/>
        <w:spacing w:line="297" w:lineRule="auto" w:before="71"/>
        <w:ind w:right="1128" w:firstLine="468"/>
      </w:pPr>
      <w:r>
        <w:rPr>
          <w:spacing w:val="-6"/>
        </w:rPr>
        <w:t>继发性耳鸣是某些已知疾病引起的，比如常见的中耳炎、药物、噪声、外伤等可能会引</w:t>
      </w:r>
      <w:r>
        <w:rPr/>
        <w:t>起这类耳鸣。</w:t>
      </w:r>
    </w:p>
    <w:p>
      <w:pPr>
        <w:pStyle w:val="ListParagraph"/>
        <w:numPr>
          <w:ilvl w:val="0"/>
          <w:numId w:val="10"/>
        </w:numPr>
        <w:tabs>
          <w:tab w:pos="870" w:val="left" w:leader="none"/>
        </w:tabs>
        <w:spacing w:line="306" w:lineRule="exact" w:before="0" w:after="0"/>
        <w:ind w:left="869" w:right="0" w:hanging="184"/>
        <w:jc w:val="left"/>
        <w:rPr>
          <w:sz w:val="24"/>
        </w:rPr>
      </w:pPr>
      <w:r>
        <w:rPr>
          <w:sz w:val="24"/>
        </w:rPr>
        <w:t>原发性耳鸣</w:t>
      </w:r>
    </w:p>
    <w:p>
      <w:pPr>
        <w:pStyle w:val="BodyText"/>
        <w:spacing w:before="72"/>
        <w:ind w:left="685"/>
      </w:pPr>
      <w:r>
        <w:rPr/>
        <w:t>原发性耳鸣则指的找不到什么原因引起的耳鸣，再说直接点就是，约等于运气差。</w:t>
      </w:r>
    </w:p>
    <w:p>
      <w:pPr>
        <w:pStyle w:val="BodyText"/>
        <w:spacing w:line="295" w:lineRule="auto" w:before="74"/>
        <w:ind w:right="1047" w:firstLine="468"/>
      </w:pPr>
      <w:r>
        <w:rPr/>
        <w:t>但是原发性耳鸣患者也不用悲伤，</w:t>
      </w:r>
      <w:r>
        <w:rPr>
          <w:rFonts w:ascii="Calibri" w:eastAsia="Calibri"/>
        </w:rPr>
        <w:t>2012 </w:t>
      </w:r>
      <w:r>
        <w:rPr/>
        <w:t>年中国耳鸣专家共识报告显示，</w:t>
      </w:r>
      <w:r>
        <w:rPr>
          <w:rFonts w:ascii="Calibri" w:eastAsia="Calibri"/>
        </w:rPr>
        <w:t>90%</w:t>
      </w:r>
      <w:r>
        <w:rPr/>
        <w:t>左右的耳鸣都是原发性耳鸣，也就是说，全世界起码有 </w:t>
      </w:r>
      <w:r>
        <w:rPr>
          <w:rFonts w:ascii="Calibri" w:eastAsia="Calibri"/>
        </w:rPr>
        <w:t>9 </w:t>
      </w:r>
      <w:r>
        <w:rPr/>
        <w:t>亿人都运气差，是不是又得到了安慰？</w:t>
      </w:r>
    </w:p>
    <w:p>
      <w:pPr>
        <w:pStyle w:val="Heading3"/>
        <w:spacing w:before="2"/>
        <w:ind w:left="685"/>
        <w:rPr>
          <w:rFonts w:ascii="宋体" w:eastAsia="宋体" w:hint="eastAsia"/>
        </w:rPr>
      </w:pPr>
      <w:r>
        <w:rPr>
          <w:rFonts w:ascii="宋体" w:eastAsia="宋体" w:hint="eastAsia"/>
        </w:rPr>
        <w:t>三、关于耳鸣的误区</w:t>
      </w:r>
    </w:p>
    <w:p>
      <w:pPr>
        <w:pStyle w:val="ListParagraph"/>
        <w:numPr>
          <w:ilvl w:val="0"/>
          <w:numId w:val="11"/>
        </w:numPr>
        <w:tabs>
          <w:tab w:pos="988" w:val="left" w:leader="none"/>
        </w:tabs>
        <w:spacing w:line="240" w:lineRule="auto" w:before="74" w:after="0"/>
        <w:ind w:left="987" w:right="0" w:hanging="302"/>
        <w:jc w:val="left"/>
        <w:rPr>
          <w:sz w:val="24"/>
        </w:rPr>
      </w:pPr>
      <w:r>
        <w:rPr>
          <w:sz w:val="24"/>
        </w:rPr>
        <w:t>有耳鸣就一定会聋？</w:t>
      </w:r>
    </w:p>
    <w:p>
      <w:pPr>
        <w:pStyle w:val="BodyText"/>
        <w:spacing w:line="295" w:lineRule="auto" w:before="72"/>
        <w:ind w:left="685" w:right="2618"/>
      </w:pPr>
      <w:r>
        <w:rPr/>
        <w:t>到底会不会“十聋九鸣、久鸣必聋”，医生每次上门诊都会被问 </w:t>
      </w:r>
      <w:r>
        <w:rPr>
          <w:rFonts w:ascii="Calibri" w:hAnsi="Calibri" w:eastAsia="Calibri"/>
        </w:rPr>
        <w:t>N </w:t>
      </w:r>
      <w:r>
        <w:rPr/>
        <w:t>遍！ 确实，有的时候耳鸣发生后，耳聋就跟着出现了。</w:t>
      </w:r>
    </w:p>
    <w:p>
      <w:pPr>
        <w:pStyle w:val="BodyText"/>
        <w:spacing w:line="295" w:lineRule="auto" w:before="5"/>
        <w:ind w:right="1127" w:firstLine="468"/>
        <w:jc w:val="both"/>
      </w:pPr>
      <w:r>
        <w:rPr>
          <w:spacing w:val="-9"/>
        </w:rPr>
        <w:t>为了验证一下“十聋九鸣”和“久鸣必聋”这两句“民间说法”到底是真是假，为了能</w:t>
      </w:r>
      <w:r>
        <w:rPr>
          <w:spacing w:val="-10"/>
        </w:rPr>
        <w:t>更科学、更客观地回答大家的这个问题，为了彻底消除耳鸣者最常见的担心，我们做了个研</w:t>
      </w:r>
      <w:r>
        <w:rPr/>
        <w:t>究——</w:t>
      </w:r>
    </w:p>
    <w:p>
      <w:pPr>
        <w:pStyle w:val="BodyText"/>
        <w:spacing w:line="295" w:lineRule="auto" w:before="5"/>
        <w:ind w:right="1127" w:firstLine="468"/>
        <w:jc w:val="both"/>
      </w:pPr>
      <w:r>
        <w:rPr>
          <w:spacing w:val="-5"/>
        </w:rPr>
        <w:t>我们听力中心的医生随机选了 </w:t>
      </w:r>
      <w:r>
        <w:rPr>
          <w:rFonts w:ascii="Calibri" w:hAnsi="Calibri" w:eastAsia="Calibri"/>
        </w:rPr>
        <w:t>400 </w:t>
      </w:r>
      <w:r>
        <w:rPr>
          <w:spacing w:val="-11"/>
        </w:rPr>
        <w:t>名耳鸣者跟踪研究发现，不是所有有耳鸣的人都会有</w:t>
      </w:r>
      <w:r>
        <w:rPr>
          <w:spacing w:val="-10"/>
        </w:rPr>
        <w:t>听力减退，而在有听力减退最终出现双侧耳聋的人中，有部分人只有一侧耳朵有耳鸣。我们</w:t>
      </w:r>
      <w:r>
        <w:rPr/>
        <w:t>做了一堆堆的分析、一堆堆的证明得出结论——</w:t>
      </w:r>
    </w:p>
    <w:p>
      <w:pPr>
        <w:pStyle w:val="BodyText"/>
        <w:spacing w:line="297" w:lineRule="auto" w:before="5"/>
        <w:ind w:left="685" w:right="4399"/>
      </w:pPr>
      <w:r>
        <w:rPr/>
        <w:t>耳鸣与耳聋并非互为因果，两者之间并无绝对相关性。哎呀，意思就是：耳鸣≠耳聋，有耳鸣不一定会耳聋。</w:t>
      </w:r>
    </w:p>
    <w:p>
      <w:pPr>
        <w:pStyle w:val="BodyText"/>
        <w:spacing w:line="304" w:lineRule="exact"/>
        <w:ind w:left="685"/>
      </w:pPr>
      <w:r>
        <w:rPr/>
        <w:t>目前，这项研究还在继续，已经对 </w:t>
      </w:r>
      <w:r>
        <w:rPr>
          <w:rFonts w:ascii="Calibri" w:eastAsia="Calibri"/>
        </w:rPr>
        <w:t>1000+</w:t>
      </w:r>
      <w:r>
        <w:rPr/>
        <w:t>名患者进行了研究，结论仍然是这样。</w:t>
      </w:r>
    </w:p>
    <w:p>
      <w:pPr>
        <w:pStyle w:val="ListParagraph"/>
        <w:numPr>
          <w:ilvl w:val="0"/>
          <w:numId w:val="11"/>
        </w:numPr>
        <w:tabs>
          <w:tab w:pos="988" w:val="left" w:leader="none"/>
        </w:tabs>
        <w:spacing w:line="240" w:lineRule="auto" w:before="74" w:after="0"/>
        <w:ind w:left="987" w:right="0" w:hanging="302"/>
        <w:jc w:val="left"/>
        <w:rPr>
          <w:sz w:val="24"/>
        </w:rPr>
      </w:pPr>
      <w:r>
        <w:rPr>
          <w:sz w:val="24"/>
        </w:rPr>
        <w:t>戴耳机可以缓解耳鸣？</w:t>
      </w:r>
    </w:p>
    <w:p>
      <w:pPr>
        <w:pStyle w:val="BodyText"/>
        <w:spacing w:before="72"/>
        <w:ind w:left="685"/>
      </w:pPr>
      <w:r>
        <w:rPr/>
        <w:t>很多有耳鸣的人会相互推荐用戴耳机，听其他声音的方式去应对耳鸣。但实话，这个方</w:t>
      </w:r>
    </w:p>
    <w:p>
      <w:pPr>
        <w:pStyle w:val="BodyText"/>
        <w:spacing w:line="297" w:lineRule="auto" w:before="72"/>
        <w:ind w:left="4151" w:right="1174"/>
      </w:pPr>
      <w:r>
        <w:rPr/>
        <w:drawing>
          <wp:anchor distT="0" distB="0" distL="0" distR="0" allowOverlap="1" layoutInCell="1" locked="0" behindDoc="0" simplePos="0" relativeHeight="5320">
            <wp:simplePos x="0" y="0"/>
            <wp:positionH relativeFrom="page">
              <wp:posOffset>1014864</wp:posOffset>
            </wp:positionH>
            <wp:positionV relativeFrom="paragraph">
              <wp:posOffset>322638</wp:posOffset>
            </wp:positionV>
            <wp:extent cx="2136281" cy="1916723"/>
            <wp:effectExtent l="0" t="0" r="0" b="0"/>
            <wp:wrapNone/>
            <wp:docPr id="17" name="image21.jpeg" descr=""/>
            <wp:cNvGraphicFramePr>
              <a:graphicFrameLocks noChangeAspect="1"/>
            </wp:cNvGraphicFramePr>
            <a:graphic>
              <a:graphicData uri="http://schemas.openxmlformats.org/drawingml/2006/picture">
                <pic:pic>
                  <pic:nvPicPr>
                    <pic:cNvPr id="18" name="image21.jpeg"/>
                    <pic:cNvPicPr/>
                  </pic:nvPicPr>
                  <pic:blipFill>
                    <a:blip r:embed="rId35" cstate="print"/>
                    <a:stretch>
                      <a:fillRect/>
                    </a:stretch>
                  </pic:blipFill>
                  <pic:spPr>
                    <a:xfrm>
                      <a:off x="0" y="0"/>
                      <a:ext cx="2136281" cy="1916723"/>
                    </a:xfrm>
                    <a:prstGeom prst="rect">
                      <a:avLst/>
                    </a:prstGeom>
                  </pic:spPr>
                </pic:pic>
              </a:graphicData>
            </a:graphic>
          </wp:anchor>
        </w:drawing>
      </w:r>
      <w:r>
        <w:rPr/>
        <w:t>法有点像掩耳盗铃，没有真正解决问题，甚至还可能造成新的问题。</w:t>
      </w:r>
    </w:p>
    <w:p>
      <w:pPr>
        <w:pStyle w:val="BodyText"/>
        <w:spacing w:line="295" w:lineRule="auto"/>
        <w:ind w:left="4151" w:right="1186" w:firstLine="468"/>
        <w:jc w:val="both"/>
      </w:pPr>
      <w:r>
        <w:rPr/>
        <w:t>医生在这里要给你们说清楚，这种方法虽然可以用，但要注意两点：</w:t>
      </w:r>
    </w:p>
    <w:p>
      <w:pPr>
        <w:pStyle w:val="BodyText"/>
        <w:spacing w:line="295" w:lineRule="auto" w:before="3"/>
        <w:ind w:left="4151" w:right="1129" w:firstLine="468"/>
        <w:jc w:val="both"/>
      </w:pPr>
      <w:r>
        <w:rPr>
          <w:spacing w:val="-6"/>
        </w:rPr>
        <w:t>① 建议你确实没有其他办法、又确实觉得耳鸣不</w:t>
      </w:r>
      <w:r>
        <w:rPr/>
        <w:t>舒服、特别是想睡觉又睡不着的时候用；</w:t>
      </w:r>
    </w:p>
    <w:p>
      <w:pPr>
        <w:pStyle w:val="BodyText"/>
        <w:spacing w:line="297" w:lineRule="auto" w:before="2"/>
        <w:ind w:left="4151" w:right="1128" w:firstLine="468"/>
        <w:jc w:val="both"/>
      </w:pPr>
      <w:r>
        <w:rPr>
          <w:spacing w:val="-5"/>
        </w:rPr>
        <w:t>② 戴耳机的时候控制好耳机的音量。国际上噪声</w:t>
      </w:r>
      <w:r>
        <w:rPr>
          <w:spacing w:val="-6"/>
        </w:rPr>
        <w:t>性听力损失的标准是 </w:t>
      </w:r>
      <w:r>
        <w:rPr>
          <w:rFonts w:ascii="Calibri" w:hAnsi="Calibri" w:eastAsia="Calibri"/>
        </w:rPr>
        <w:t>85 </w:t>
      </w:r>
      <w:r>
        <w:rPr>
          <w:spacing w:val="-11"/>
        </w:rPr>
        <w:t>分贝，差不多就是一个车流量</w:t>
      </w:r>
      <w:r>
        <w:rPr/>
        <w:t>比较大的十字路口或者热闹的饭馆的声音那么大。</w:t>
      </w:r>
    </w:p>
    <w:p>
      <w:pPr>
        <w:spacing w:after="0" w:line="297" w:lineRule="auto"/>
        <w:jc w:val="both"/>
        <w:sectPr>
          <w:pgSz w:w="11910" w:h="16850"/>
          <w:pgMar w:header="906" w:footer="607" w:top="1100" w:bottom="800" w:left="1060" w:right="0"/>
        </w:sectPr>
      </w:pPr>
    </w:p>
    <w:p>
      <w:pPr>
        <w:pStyle w:val="BodyText"/>
        <w:spacing w:line="295" w:lineRule="auto" w:before="65"/>
        <w:ind w:right="1129" w:firstLine="468"/>
      </w:pPr>
      <w:r>
        <w:rPr>
          <w:spacing w:val="-20"/>
        </w:rPr>
        <w:t>不仅对耳鸣患者，即使是一般人，长期戴耳机开大音量，大到别人喊你都听不到的状态， </w:t>
      </w:r>
      <w:r>
        <w:rPr/>
        <w:t>都会导致听力受损哦！周围各种拉拉杂杂的噪音已经够多了，自己就不要再加码了！</w:t>
      </w:r>
    </w:p>
    <w:p>
      <w:pPr>
        <w:pStyle w:val="ListParagraph"/>
        <w:numPr>
          <w:ilvl w:val="0"/>
          <w:numId w:val="11"/>
        </w:numPr>
        <w:tabs>
          <w:tab w:pos="988" w:val="left" w:leader="none"/>
        </w:tabs>
        <w:spacing w:line="240" w:lineRule="auto" w:before="2" w:after="0"/>
        <w:ind w:left="987" w:right="0" w:hanging="302"/>
        <w:jc w:val="left"/>
        <w:rPr>
          <w:sz w:val="24"/>
        </w:rPr>
      </w:pPr>
      <w:r>
        <w:rPr>
          <w:sz w:val="24"/>
        </w:rPr>
        <w:t>偏方可以缓解甚至治好耳鸣？</w:t>
      </w:r>
    </w:p>
    <w:p>
      <w:pPr>
        <w:pStyle w:val="BodyText"/>
        <w:spacing w:line="295" w:lineRule="auto" w:before="74"/>
        <w:ind w:right="1132" w:firstLine="468"/>
      </w:pPr>
      <w:r>
        <w:rPr>
          <w:spacing w:val="-6"/>
        </w:rPr>
        <w:t>一看皮西西有点牙尖带鄙视的语气，你们应该就知道，不管是什么响铃草炖猪耳朵，还</w:t>
      </w:r>
      <w:r>
        <w:rPr/>
        <w:t>是这样清火药，那样解热散，跟你们说统统都没有用！</w:t>
      </w:r>
    </w:p>
    <w:p>
      <w:pPr>
        <w:pStyle w:val="BodyText"/>
        <w:spacing w:line="297" w:lineRule="auto" w:before="2"/>
        <w:ind w:right="1088" w:firstLine="468"/>
      </w:pPr>
      <w:r>
        <w:rPr/>
        <w:t>都 </w:t>
      </w:r>
      <w:r>
        <w:rPr>
          <w:rFonts w:ascii="Calibri" w:hAnsi="Calibri" w:eastAsia="Calibri"/>
        </w:rPr>
        <w:t>9102 </w:t>
      </w:r>
      <w:r>
        <w:rPr/>
        <w:t>年了，还是靠“听别人说”来治病的人，真的，我也不知道该用哪个年代的话劝你了！</w:t>
      </w:r>
    </w:p>
    <w:p>
      <w:pPr>
        <w:pStyle w:val="BodyText"/>
        <w:spacing w:line="306" w:lineRule="exact"/>
        <w:ind w:left="685"/>
      </w:pPr>
      <w:r>
        <w:rPr/>
        <w:t>四、耳鸣的治疗</w:t>
      </w:r>
    </w:p>
    <w:p>
      <w:pPr>
        <w:pStyle w:val="BodyText"/>
        <w:spacing w:line="297" w:lineRule="auto" w:before="72"/>
        <w:ind w:left="7127" w:right="963" w:firstLine="468"/>
      </w:pPr>
      <w:r>
        <w:rPr/>
        <w:drawing>
          <wp:anchor distT="0" distB="0" distL="0" distR="0" allowOverlap="1" layoutInCell="1" locked="0" behindDoc="0" simplePos="0" relativeHeight="5344">
            <wp:simplePos x="0" y="0"/>
            <wp:positionH relativeFrom="page">
              <wp:posOffset>928369</wp:posOffset>
            </wp:positionH>
            <wp:positionV relativeFrom="paragraph">
              <wp:posOffset>87629</wp:posOffset>
            </wp:positionV>
            <wp:extent cx="4156075" cy="3968750"/>
            <wp:effectExtent l="0" t="0" r="0" b="0"/>
            <wp:wrapNone/>
            <wp:docPr id="19" name="image22.jpeg" descr=""/>
            <wp:cNvGraphicFramePr>
              <a:graphicFrameLocks noChangeAspect="1"/>
            </wp:cNvGraphicFramePr>
            <a:graphic>
              <a:graphicData uri="http://schemas.openxmlformats.org/drawingml/2006/picture">
                <pic:pic>
                  <pic:nvPicPr>
                    <pic:cNvPr id="20" name="image22.jpeg"/>
                    <pic:cNvPicPr/>
                  </pic:nvPicPr>
                  <pic:blipFill>
                    <a:blip r:embed="rId36" cstate="print"/>
                    <a:stretch>
                      <a:fillRect/>
                    </a:stretch>
                  </pic:blipFill>
                  <pic:spPr>
                    <a:xfrm>
                      <a:off x="0" y="0"/>
                      <a:ext cx="4156075" cy="3968750"/>
                    </a:xfrm>
                    <a:prstGeom prst="rect">
                      <a:avLst/>
                    </a:prstGeom>
                  </pic:spPr>
                </pic:pic>
              </a:graphicData>
            </a:graphic>
          </wp:anchor>
        </w:drawing>
      </w:r>
      <w:r>
        <w:rPr/>
        <w:t>问：“医生，戴耳机不行，偏方又说不能用， 我之前也看过好多医院、去了好多诊所，不是被骗就是被告知治不好，那你们华西医院的专家说说 看，该怎么办嘛？”</w:t>
      </w:r>
    </w:p>
    <w:p>
      <w:pPr>
        <w:pStyle w:val="BodyText"/>
        <w:spacing w:line="297" w:lineRule="auto"/>
        <w:ind w:left="7127" w:right="1083" w:firstLine="468"/>
      </w:pPr>
      <w:r>
        <w:rPr/>
        <w:t>谈到耳鸣的治疗，确实是有难度滴，但不能一竿子打死就说肯定治不好！</w:t>
      </w:r>
    </w:p>
    <w:p>
      <w:pPr>
        <w:pStyle w:val="BodyText"/>
        <w:spacing w:line="297" w:lineRule="auto"/>
        <w:ind w:left="7127" w:right="1129" w:firstLine="468"/>
        <w:jc w:val="both"/>
      </w:pPr>
      <w:r>
        <w:rPr>
          <w:spacing w:val="-8"/>
        </w:rPr>
        <w:t>首先，医生要排除继</w:t>
      </w:r>
      <w:r>
        <w:rPr>
          <w:spacing w:val="-9"/>
        </w:rPr>
        <w:t>发性耳鸣，把相关病因找到把病治好，耳鸣自然也</w:t>
      </w:r>
      <w:r>
        <w:rPr/>
        <w:t>就没有了。</w:t>
      </w:r>
    </w:p>
    <w:p>
      <w:pPr>
        <w:pStyle w:val="BodyText"/>
        <w:spacing w:line="297" w:lineRule="auto"/>
        <w:ind w:left="7127" w:right="1066" w:firstLine="468"/>
      </w:pPr>
      <w:r>
        <w:rPr/>
        <w:t>其次，排除了继发性耳鸣后，医生还需从患者</w:t>
      </w:r>
    </w:p>
    <w:p>
      <w:pPr>
        <w:pStyle w:val="BodyText"/>
        <w:spacing w:line="295" w:lineRule="auto"/>
        <w:ind w:left="685" w:right="1747" w:hanging="468"/>
      </w:pPr>
      <w:r>
        <w:rPr/>
        <w:t>生活方式出发寻找耳鸣的原因，比如建议患者改善不良的生活习惯，晚睡、熬夜等。连这些都不给你分析一下的医生，悄悄咪咪给你说，不靠谱哟！</w:t>
      </w:r>
    </w:p>
    <w:p>
      <w:pPr>
        <w:pStyle w:val="BodyText"/>
        <w:spacing w:line="295" w:lineRule="auto"/>
        <w:ind w:right="1129" w:firstLine="468"/>
        <w:jc w:val="both"/>
      </w:pPr>
      <w:r>
        <w:rPr>
          <w:spacing w:val="-10"/>
        </w:rPr>
        <w:t>更重要的是，虽然原发性耳鸣找不到明确病因，治疗确实有难度，但是并不是说就不能</w:t>
      </w:r>
      <w:r>
        <w:rPr/>
        <w:t>治疗。</w:t>
      </w:r>
    </w:p>
    <w:p>
      <w:pPr>
        <w:pStyle w:val="BodyText"/>
        <w:spacing w:line="297" w:lineRule="auto"/>
        <w:ind w:right="1129" w:firstLine="468"/>
        <w:jc w:val="both"/>
      </w:pPr>
      <w:r>
        <w:rPr>
          <w:spacing w:val="-6"/>
        </w:rPr>
        <w:t>华西医院的专家们在经过长期观察发现，即使是高难度的原发性耳鸣，也是有希望治愈</w:t>
      </w:r>
      <w:r>
        <w:rPr/>
        <w:t>滴！</w:t>
      </w:r>
    </w:p>
    <w:p>
      <w:pPr>
        <w:pStyle w:val="BodyText"/>
        <w:spacing w:line="295" w:lineRule="auto"/>
        <w:ind w:right="1132" w:firstLine="468"/>
        <w:jc w:val="both"/>
      </w:pPr>
      <w:r>
        <w:rPr>
          <w:spacing w:val="-10"/>
        </w:rPr>
        <w:t>你看，我们真的不是在瞎说，这确确实实都是我们在核心医学期刊发表的相关论文，并</w:t>
      </w:r>
      <w:r>
        <w:rPr/>
        <w:t>在国际国内学术会上多次交流华西耳鸣临床治疗的疗效，得到了很多同行的认可。</w:t>
      </w:r>
    </w:p>
    <w:p>
      <w:pPr>
        <w:pStyle w:val="BodyText"/>
        <w:spacing w:line="295" w:lineRule="auto"/>
        <w:ind w:right="1130" w:firstLine="468"/>
        <w:jc w:val="both"/>
      </w:pPr>
      <w:r>
        <w:rPr>
          <w:spacing w:val="-5"/>
        </w:rPr>
        <w:t>而临床上也遇到不少患者通过我们建议改善生活习惯的方式，让耳鸣得到了缓解甚至差</w:t>
      </w:r>
      <w:r>
        <w:rPr/>
        <w:t>不多可以跟它说拜拜了的案例。</w:t>
      </w:r>
    </w:p>
    <w:p>
      <w:pPr>
        <w:pStyle w:val="BodyText"/>
        <w:spacing w:line="297" w:lineRule="auto"/>
        <w:ind w:right="1130" w:firstLine="468"/>
        <w:jc w:val="both"/>
      </w:pPr>
      <w:r>
        <w:rPr>
          <w:spacing w:val="-10"/>
        </w:rPr>
        <w:t>当然，也许最终还是有那么一些原发性耳鸣患者没得到很好的治疗效果，那教给大家一</w:t>
      </w:r>
      <w:r>
        <w:rPr>
          <w:spacing w:val="-9"/>
        </w:rPr>
        <w:t>个方法，按照 </w:t>
      </w:r>
      <w:r>
        <w:rPr>
          <w:rFonts w:ascii="Calibri" w:eastAsia="Calibri"/>
        </w:rPr>
        <w:t>2014</w:t>
      </w:r>
      <w:r>
        <w:rPr>
          <w:rFonts w:ascii="Calibri" w:eastAsia="Calibri"/>
          <w:spacing w:val="6"/>
        </w:rPr>
        <w:t> </w:t>
      </w:r>
      <w:r>
        <w:rPr>
          <w:spacing w:val="-2"/>
        </w:rPr>
        <w:t>年美国出版的《耳鸣临床应用指南》中明确提出，半年以上的耳鸣无法治愈，建议你学会与耳鸣和解。</w:t>
      </w:r>
    </w:p>
    <w:p>
      <w:pPr>
        <w:spacing w:after="0" w:line="297" w:lineRule="auto"/>
        <w:jc w:val="both"/>
        <w:sectPr>
          <w:pgSz w:w="11910" w:h="16850"/>
          <w:pgMar w:header="906" w:footer="607" w:top="1100" w:bottom="800" w:left="1060" w:right="0"/>
        </w:sectPr>
      </w:pPr>
    </w:p>
    <w:p>
      <w:pPr>
        <w:pStyle w:val="BodyText"/>
        <w:spacing w:line="295" w:lineRule="auto" w:before="65"/>
        <w:ind w:right="1130" w:firstLine="468"/>
      </w:pPr>
      <w:r>
        <w:rPr>
          <w:spacing w:val="-9"/>
        </w:rPr>
        <w:t>也就是说包容它，认同耳鸣的症状是你生活当中的一个组成部分，就像吃饭睡觉穿衣一</w:t>
      </w:r>
      <w:r>
        <w:rPr/>
        <w:t>样正常，不要天天随时想到，随时敌对到起，这样你的生活就会相对轻松很多。</w:t>
      </w:r>
    </w:p>
    <w:p>
      <w:pPr>
        <w:pStyle w:val="Heading3"/>
        <w:spacing w:before="2"/>
        <w:ind w:left="685"/>
        <w:rPr>
          <w:rFonts w:ascii="宋体" w:eastAsia="宋体" w:hint="eastAsia"/>
        </w:rPr>
      </w:pPr>
      <w:r>
        <w:rPr>
          <w:rFonts w:ascii="宋体" w:eastAsia="宋体" w:hint="eastAsia"/>
        </w:rPr>
        <w:t>五、提示：这三点会引起耳鸣、加重耳鸣</w:t>
      </w:r>
    </w:p>
    <w:p>
      <w:pPr>
        <w:pStyle w:val="BodyText"/>
        <w:spacing w:line="295" w:lineRule="auto" w:before="74"/>
        <w:ind w:right="1132" w:firstLine="468"/>
      </w:pPr>
      <w:r>
        <w:rPr>
          <w:spacing w:val="-6"/>
        </w:rPr>
        <w:t>除了上面已经提到过的情况，耳鸣的发生和严重程度还跟情绪问题、睡眠障碍有关，同</w:t>
      </w:r>
      <w:r>
        <w:rPr/>
        <w:t>时，在生活中还有这三点容易被忽视的影响因素：</w:t>
      </w:r>
    </w:p>
    <w:p>
      <w:pPr>
        <w:pStyle w:val="BodyText"/>
        <w:spacing w:before="2"/>
        <w:ind w:left="685"/>
      </w:pPr>
      <w:r>
        <w:rPr/>
        <w:t>第一、耳屎太多，会引起耳鸣。如果处理干净了，就可以解决耳鸣的问题。</w:t>
      </w:r>
    </w:p>
    <w:p>
      <w:pPr>
        <w:pStyle w:val="BodyText"/>
        <w:spacing w:line="295" w:lineRule="auto" w:before="74"/>
        <w:ind w:right="1006" w:firstLine="468"/>
      </w:pPr>
      <w:r>
        <w:rPr/>
        <w:t>第二、噪音环境下呆久了，会引起耳鸣。比如你去迪吧酒吧嗨一晚上、</w:t>
      </w:r>
      <w:r>
        <w:rPr>
          <w:rFonts w:ascii="Calibri" w:eastAsia="Calibri"/>
        </w:rPr>
        <w:t>KTV</w:t>
      </w:r>
      <w:r>
        <w:rPr>
          <w:rFonts w:ascii="Calibri" w:eastAsia="Calibri"/>
          <w:spacing w:val="52"/>
        </w:rPr>
        <w:t> </w:t>
      </w:r>
      <w:r>
        <w:rPr/>
        <w:t>吼一晚上， 或者是长期在高噪音的环境下工作不做自我保护，非常容易引起耳鸣的。</w:t>
      </w:r>
    </w:p>
    <w:p>
      <w:pPr>
        <w:pStyle w:val="BodyText"/>
        <w:spacing w:line="297" w:lineRule="auto" w:before="2"/>
        <w:ind w:right="1014" w:firstLine="468"/>
      </w:pPr>
      <w:r>
        <w:rPr>
          <w:spacing w:val="-9"/>
        </w:rPr>
        <w:t>第三、不健康的饮食习惯也会加重耳鸣。吃东西没有规律，无节制、吃得太过油腻、太</w:t>
      </w:r>
      <w:r>
        <w:rPr>
          <w:spacing w:val="-10"/>
        </w:rPr>
        <w:t>多生冷食物等都是不健康的饮食。大家可能都不知道，咖啡因可能会增加耳鸣的严重程度。</w:t>
      </w:r>
      <w:r>
        <w:rPr/>
        <w:t>耳鸣严重的人可以试下一段时间不喝咖啡、可可、茶，不抽烟，耳鸣可能会明显减轻哦。</w:t>
      </w:r>
    </w:p>
    <w:p>
      <w:pPr>
        <w:pStyle w:val="BodyText"/>
        <w:spacing w:line="297" w:lineRule="auto"/>
        <w:ind w:left="4996" w:right="2728"/>
      </w:pPr>
      <w:r>
        <w:rPr/>
        <w:drawing>
          <wp:anchor distT="0" distB="0" distL="0" distR="0" allowOverlap="1" layoutInCell="1" locked="0" behindDoc="0" simplePos="0" relativeHeight="5368">
            <wp:simplePos x="0" y="0"/>
            <wp:positionH relativeFrom="page">
              <wp:posOffset>1154666</wp:posOffset>
            </wp:positionH>
            <wp:positionV relativeFrom="paragraph">
              <wp:posOffset>73729</wp:posOffset>
            </wp:positionV>
            <wp:extent cx="2201638" cy="1758499"/>
            <wp:effectExtent l="0" t="0" r="0" b="0"/>
            <wp:wrapNone/>
            <wp:docPr id="21" name="image23.jpeg" descr=""/>
            <wp:cNvGraphicFramePr>
              <a:graphicFrameLocks noChangeAspect="1"/>
            </wp:cNvGraphicFramePr>
            <a:graphic>
              <a:graphicData uri="http://schemas.openxmlformats.org/drawingml/2006/picture">
                <pic:pic>
                  <pic:nvPicPr>
                    <pic:cNvPr id="22" name="image23.jpeg"/>
                    <pic:cNvPicPr/>
                  </pic:nvPicPr>
                  <pic:blipFill>
                    <a:blip r:embed="rId37" cstate="print"/>
                    <a:stretch>
                      <a:fillRect/>
                    </a:stretch>
                  </pic:blipFill>
                  <pic:spPr>
                    <a:xfrm>
                      <a:off x="0" y="0"/>
                      <a:ext cx="2201638" cy="1758499"/>
                    </a:xfrm>
                    <a:prstGeom prst="rect">
                      <a:avLst/>
                    </a:prstGeom>
                  </pic:spPr>
                </pic:pic>
              </a:graphicData>
            </a:graphic>
          </wp:anchor>
        </w:drawing>
      </w:r>
      <w:r>
        <w:rPr/>
        <w:t>和自己和解是一种生活智慧。耳鸣是你身体的一部分，</w:t>
      </w:r>
    </w:p>
    <w:p>
      <w:pPr>
        <w:pStyle w:val="BodyText"/>
        <w:spacing w:line="306" w:lineRule="exact"/>
        <w:ind w:left="4996"/>
      </w:pPr>
      <w:r>
        <w:rPr/>
        <w:t>短了 </w:t>
      </w:r>
      <w:r>
        <w:rPr>
          <w:rFonts w:ascii="Calibri" w:eastAsia="Calibri"/>
        </w:rPr>
        <w:t>5 </w:t>
      </w:r>
      <w:r>
        <w:rPr/>
        <w:t>公分的腿是你身体的一部分，</w:t>
      </w:r>
    </w:p>
    <w:p>
      <w:pPr>
        <w:pStyle w:val="BodyText"/>
        <w:spacing w:line="297" w:lineRule="auto" w:before="68"/>
        <w:ind w:left="4528" w:right="1053" w:firstLine="468"/>
      </w:pPr>
      <w:r>
        <w:rPr/>
        <w:t>皱纹、下垂和头顶只剩二分之一的发囊是你身体的一部分，</w:t>
      </w:r>
    </w:p>
    <w:p>
      <w:pPr>
        <w:pStyle w:val="BodyText"/>
        <w:spacing w:line="295" w:lineRule="auto"/>
        <w:ind w:left="4996" w:right="1011"/>
      </w:pPr>
      <w:r>
        <w:rPr/>
        <w:t>经常气得你吐血的孩子也是你身体的一部分， 努力了还是改变不了，那就和解，</w:t>
      </w:r>
    </w:p>
    <w:p>
      <w:pPr>
        <w:pStyle w:val="BodyText"/>
        <w:spacing w:before="3"/>
        <w:ind w:left="1736" w:right="911"/>
        <w:jc w:val="center"/>
      </w:pPr>
      <w:r>
        <w:rPr/>
        <w:t>人生豁然开朗。</w:t>
      </w:r>
    </w:p>
    <w:p>
      <w:pPr>
        <w:pStyle w:val="BodyText"/>
        <w:spacing w:before="6"/>
        <w:ind w:left="0"/>
        <w:rPr>
          <w:sz w:val="19"/>
        </w:rPr>
      </w:pPr>
    </w:p>
    <w:p>
      <w:pPr>
        <w:spacing w:after="0"/>
        <w:rPr>
          <w:sz w:val="19"/>
        </w:rPr>
        <w:sectPr>
          <w:pgSz w:w="11910" w:h="16850"/>
          <w:pgMar w:header="906" w:footer="607" w:top="1100" w:bottom="800" w:left="1060" w:right="0"/>
        </w:sectPr>
      </w:pPr>
    </w:p>
    <w:p>
      <w:pPr>
        <w:pStyle w:val="Heading2"/>
        <w:spacing w:before="55"/>
        <w:ind w:left="3277"/>
      </w:pPr>
      <w:bookmarkStart w:name="_TOC_250006" w:id="39"/>
      <w:bookmarkEnd w:id="39"/>
      <w:r>
        <w:rPr>
          <w:spacing w:val="-4"/>
        </w:rPr>
        <w:t>怀孕了 慎用解热止痛药</w:t>
      </w:r>
    </w:p>
    <w:p>
      <w:pPr>
        <w:pStyle w:val="BodyText"/>
        <w:ind w:left="0"/>
        <w:rPr>
          <w:b/>
        </w:rPr>
      </w:pPr>
      <w:r>
        <w:rPr/>
        <w:br w:type="column"/>
      </w:r>
      <w:r>
        <w:rPr>
          <w:b/>
        </w:rPr>
      </w:r>
    </w:p>
    <w:p>
      <w:pPr>
        <w:pStyle w:val="BodyText"/>
        <w:spacing w:before="7"/>
        <w:ind w:left="0"/>
        <w:rPr>
          <w:b/>
          <w:sz w:val="23"/>
        </w:rPr>
      </w:pPr>
    </w:p>
    <w:p>
      <w:pPr>
        <w:pStyle w:val="Heading3"/>
        <w:spacing w:before="1"/>
        <w:ind w:left="1098"/>
      </w:pPr>
      <w:r>
        <w:rPr>
          <w:color w:val="FF0000"/>
        </w:rPr>
        <w:t>（来源：健康报）</w:t>
      </w:r>
    </w:p>
    <w:p>
      <w:pPr>
        <w:spacing w:after="0"/>
        <w:sectPr>
          <w:type w:val="continuous"/>
          <w:pgSz w:w="11910" w:h="16850"/>
          <w:pgMar w:top="1080" w:bottom="1020" w:left="1060" w:right="0"/>
          <w:cols w:num="2" w:equalWidth="0">
            <w:col w:w="6649" w:space="40"/>
            <w:col w:w="4161"/>
          </w:cols>
        </w:sectPr>
      </w:pPr>
    </w:p>
    <w:p>
      <w:pPr>
        <w:pStyle w:val="BodyText"/>
        <w:spacing w:line="297" w:lineRule="auto" w:before="98"/>
        <w:ind w:right="1014" w:firstLine="480"/>
      </w:pPr>
      <w:r>
        <w:rPr/>
        <w:t>止痛药一般分为三类。第一类为解热镇痛药（非甾体类抗炎药），</w:t>
      </w:r>
      <w:r>
        <w:rPr>
          <w:spacing w:val="-2"/>
        </w:rPr>
        <w:t>常用的有阿司匹林、</w:t>
      </w:r>
      <w:r>
        <w:rPr>
          <w:spacing w:val="-10"/>
        </w:rPr>
        <w:t>布洛芬、吲哚美辛、双氯芬酸钠和扑热息痛等。这类药物止痛作用比较弱，没有成瘾性，用</w:t>
      </w:r>
      <w:r>
        <w:rPr>
          <w:spacing w:val="-11"/>
        </w:rPr>
        <w:t>于一般常见的疼痛。第二类为中枢性止痛药，以曲马多为代表。止痛作用比解热镇痛药强， </w:t>
      </w:r>
      <w:r>
        <w:rPr>
          <w:spacing w:val="-4"/>
        </w:rPr>
        <w:t>主要用于中等程度的各种急性疼痛以及手术后。第三类为麻醉性止痛药，如吗啡、杜冷丁等</w:t>
      </w:r>
      <w:r>
        <w:rPr>
          <w:spacing w:val="-11"/>
        </w:rPr>
        <w:t>阿片类药物。这类止痛药作用强、长期使用易成瘾，不能随便使用。除了这些药物外，还有</w:t>
      </w:r>
      <w:r>
        <w:rPr>
          <w:spacing w:val="-14"/>
        </w:rPr>
        <w:t>一些中药复方止痛药、肠痉挛腹部疼痛使用的山莨菪碱、缓解偏头痛的麦角胺等。本文说的妊娠期止痛药物主要为非甾体类抗炎药（</w:t>
      </w:r>
      <w:r>
        <w:rPr>
          <w:rFonts w:ascii="Times New Roman" w:eastAsia="Times New Roman"/>
          <w:spacing w:val="-14"/>
        </w:rPr>
        <w:t>NSAIDs</w:t>
      </w:r>
      <w:r>
        <w:rPr>
          <w:spacing w:val="-14"/>
        </w:rPr>
        <w:t>）。</w:t>
      </w:r>
    </w:p>
    <w:p>
      <w:pPr>
        <w:pStyle w:val="Heading3"/>
        <w:spacing w:line="298" w:lineRule="exact"/>
        <w:rPr>
          <w:rFonts w:ascii="宋体" w:eastAsia="宋体" w:hint="eastAsia"/>
        </w:rPr>
      </w:pPr>
      <w:r>
        <w:rPr>
          <w:rFonts w:ascii="宋体" w:eastAsia="宋体" w:hint="eastAsia"/>
        </w:rPr>
        <w:t>能用非甾体类抗炎药止痛吗？</w:t>
      </w:r>
    </w:p>
    <w:p>
      <w:pPr>
        <w:pStyle w:val="BodyText"/>
        <w:spacing w:line="297" w:lineRule="auto" w:before="71"/>
        <w:ind w:right="1077" w:firstLine="480"/>
      </w:pPr>
      <w:r>
        <w:rPr>
          <w:rFonts w:ascii="Times New Roman" w:eastAsia="Times New Roman"/>
        </w:rPr>
        <w:t>NSAIDs </w:t>
      </w:r>
      <w:r>
        <w:rPr/>
        <w:t>在妊娠期应用的安全性数据尚不完整。美国食品药品监督管理局也告知医师和患者，由于现有的相关医学文献十分有限，目前还无法提供使用止痛药的任何建议。</w:t>
      </w:r>
    </w:p>
    <w:p>
      <w:pPr>
        <w:pStyle w:val="BodyText"/>
        <w:spacing w:line="297" w:lineRule="auto"/>
        <w:ind w:right="1020" w:firstLine="480"/>
      </w:pPr>
      <w:r>
        <w:rPr>
          <w:rFonts w:ascii="Times New Roman" w:eastAsia="Times New Roman"/>
        </w:rPr>
        <w:t>NSAIDs</w:t>
      </w:r>
      <w:r>
        <w:rPr>
          <w:rFonts w:ascii="Times New Roman" w:eastAsia="Times New Roman"/>
          <w:spacing w:val="51"/>
        </w:rPr>
        <w:t> </w:t>
      </w:r>
      <w:r>
        <w:rPr>
          <w:spacing w:val="-1"/>
        </w:rPr>
        <w:t>作为前列腺素合成抑制剂可致凝血功能异常，子宫动脉导管收缩并延长产程， </w:t>
      </w:r>
      <w:r>
        <w:rPr>
          <w:spacing w:val="-8"/>
        </w:rPr>
        <w:t>应尽量避免使用。若必须使用，则给予最低有效剂量，分娩前 </w:t>
      </w:r>
      <w:r>
        <w:rPr>
          <w:rFonts w:ascii="Times New Roman" w:eastAsia="Times New Roman"/>
        </w:rPr>
        <w:t>8 </w:t>
      </w:r>
      <w:r>
        <w:rPr>
          <w:spacing w:val="-7"/>
        </w:rPr>
        <w:t>周停药。既往研究表明，妊娠早期</w:t>
      </w:r>
      <w:r>
        <w:rPr>
          <w:rFonts w:ascii="Times New Roman" w:eastAsia="Times New Roman"/>
          <w:spacing w:val="-7"/>
        </w:rPr>
        <w:t>(</w:t>
      </w:r>
      <w:r>
        <w:rPr>
          <w:spacing w:val="-7"/>
        </w:rPr>
        <w:t>妊娠开始～</w:t>
      </w:r>
      <w:r>
        <w:rPr>
          <w:spacing w:val="-25"/>
        </w:rPr>
        <w:t>妊娠 </w:t>
      </w:r>
      <w:r>
        <w:rPr>
          <w:rFonts w:ascii="Times New Roman" w:eastAsia="Times New Roman"/>
        </w:rPr>
        <w:t>12 </w:t>
      </w:r>
      <w:r>
        <w:rPr/>
        <w:t>周</w:t>
      </w:r>
      <w:r>
        <w:rPr>
          <w:rFonts w:ascii="Times New Roman" w:eastAsia="Times New Roman"/>
        </w:rPr>
        <w:t>)</w:t>
      </w:r>
      <w:r>
        <w:rPr>
          <w:spacing w:val="-20"/>
        </w:rPr>
        <w:t>使用 </w:t>
      </w:r>
      <w:r>
        <w:rPr>
          <w:rFonts w:ascii="Times New Roman" w:eastAsia="Times New Roman"/>
        </w:rPr>
        <w:t>NSAIDS </w:t>
      </w:r>
      <w:r>
        <w:rPr/>
        <w:t>会增加新生儿先天性心脏缺陷、低体重新生儿风险。而在妊娠后期（</w:t>
      </w:r>
      <w:r>
        <w:rPr>
          <w:spacing w:val="-16"/>
        </w:rPr>
        <w:t>从妊娠 </w:t>
      </w:r>
      <w:r>
        <w:rPr>
          <w:rFonts w:ascii="Times New Roman" w:eastAsia="Times New Roman"/>
        </w:rPr>
        <w:t>29 </w:t>
      </w:r>
      <w:r>
        <w:rPr/>
        <w:t>周到妊娠结束），</w:t>
      </w:r>
      <w:r>
        <w:rPr>
          <w:rFonts w:ascii="Times New Roman" w:eastAsia="Times New Roman"/>
        </w:rPr>
        <w:t>NSAIDs </w:t>
      </w:r>
      <w:r>
        <w:rPr/>
        <w:t>类药物可增加胎儿动脉导管产</w:t>
      </w:r>
      <w:r>
        <w:rPr>
          <w:spacing w:val="-6"/>
        </w:rPr>
        <w:t>前早闭的风险。所以除非经过医生评估必须使用 </w:t>
      </w:r>
      <w:r>
        <w:rPr>
          <w:rFonts w:ascii="Times New Roman" w:eastAsia="Times New Roman"/>
          <w:spacing w:val="-3"/>
        </w:rPr>
        <w:t>NSAIDs</w:t>
      </w:r>
      <w:r>
        <w:rPr>
          <w:spacing w:val="-2"/>
        </w:rPr>
        <w:t>，否则不建议在孕期的任何阶段使</w:t>
      </w:r>
    </w:p>
    <w:p>
      <w:pPr>
        <w:spacing w:after="0" w:line="297" w:lineRule="auto"/>
        <w:sectPr>
          <w:type w:val="continuous"/>
          <w:pgSz w:w="11910" w:h="16850"/>
          <w:pgMar w:top="1080" w:bottom="1020" w:left="1060" w:right="0"/>
        </w:sectPr>
      </w:pPr>
    </w:p>
    <w:p>
      <w:pPr>
        <w:pStyle w:val="BodyText"/>
        <w:spacing w:line="295" w:lineRule="auto" w:before="65"/>
        <w:ind w:right="1013"/>
      </w:pPr>
      <w:r>
        <w:rPr>
          <w:spacing w:val="-9"/>
        </w:rPr>
        <w:t>用，尤其是孕 </w:t>
      </w:r>
      <w:r>
        <w:rPr>
          <w:rFonts w:ascii="Times New Roman" w:eastAsia="Times New Roman"/>
        </w:rPr>
        <w:t>30 </w:t>
      </w:r>
      <w:r>
        <w:rPr>
          <w:spacing w:val="-6"/>
        </w:rPr>
        <w:t>周及以上时。若在孕 </w:t>
      </w:r>
      <w:r>
        <w:rPr>
          <w:rFonts w:ascii="Times New Roman" w:eastAsia="Times New Roman"/>
        </w:rPr>
        <w:t>30 </w:t>
      </w:r>
      <w:r>
        <w:rPr>
          <w:spacing w:val="-1"/>
        </w:rPr>
        <w:t>周后仍需服用这类止痛药，请一定告诉产检医生， </w:t>
      </w:r>
      <w:r>
        <w:rPr/>
        <w:t>应用超声定期监测胎儿的循环</w:t>
      </w:r>
      <w:r>
        <w:rPr>
          <w:rFonts w:ascii="Times New Roman" w:eastAsia="Times New Roman"/>
        </w:rPr>
        <w:t>(</w:t>
      </w:r>
      <w:r>
        <w:rPr>
          <w:spacing w:val="-21"/>
        </w:rPr>
        <w:t>每周 </w:t>
      </w:r>
      <w:r>
        <w:rPr>
          <w:rFonts w:ascii="Times New Roman" w:eastAsia="Times New Roman"/>
        </w:rPr>
        <w:t>1 </w:t>
      </w:r>
      <w:r>
        <w:rPr/>
        <w:t>次～</w:t>
      </w:r>
      <w:r>
        <w:rPr>
          <w:rFonts w:ascii="Times New Roman" w:eastAsia="Times New Roman"/>
        </w:rPr>
        <w:t>2 </w:t>
      </w:r>
      <w:r>
        <w:rPr/>
        <w:t>次</w:t>
      </w:r>
      <w:r>
        <w:rPr>
          <w:rFonts w:ascii="Times New Roman" w:eastAsia="Times New Roman"/>
        </w:rPr>
        <w:t>)</w:t>
      </w:r>
      <w:r>
        <w:rPr/>
        <w:t>，若出现导管收缩，应立即停药。</w:t>
      </w:r>
    </w:p>
    <w:p>
      <w:pPr>
        <w:pStyle w:val="Heading3"/>
        <w:spacing w:before="2"/>
        <w:rPr>
          <w:rFonts w:ascii="宋体" w:eastAsia="宋体" w:hint="eastAsia"/>
        </w:rPr>
      </w:pPr>
      <w:r>
        <w:rPr>
          <w:rFonts w:ascii="宋体" w:eastAsia="宋体" w:hint="eastAsia"/>
        </w:rPr>
        <w:t>止痛药哪一个最安全？</w:t>
      </w:r>
    </w:p>
    <w:p>
      <w:pPr>
        <w:pStyle w:val="BodyText"/>
        <w:spacing w:line="297" w:lineRule="auto" w:before="74"/>
        <w:ind w:right="1127" w:firstLine="480"/>
      </w:pPr>
      <w:r>
        <w:rPr>
          <w:spacing w:val="-11"/>
        </w:rPr>
        <w:t>对孕妇来说，对乙酰氨基酚相对安全。对于轻度疼痛，短期使用正常剂量的对乙酰氨基</w:t>
      </w:r>
      <w:r>
        <w:rPr/>
        <w:t>酚</w:t>
      </w:r>
      <w:r>
        <w:rPr>
          <w:rFonts w:ascii="Times New Roman" w:eastAsia="Times New Roman"/>
        </w:rPr>
        <w:t>(</w:t>
      </w:r>
      <w:r>
        <w:rPr/>
        <w:t>口服或栓剂）</w:t>
      </w:r>
      <w:r>
        <w:rPr>
          <w:spacing w:val="-3"/>
        </w:rPr>
        <w:t>对胎儿更安全，可作为首选的止痛药，但若连续每天大剂量使用 </w:t>
      </w:r>
      <w:r>
        <w:rPr>
          <w:rFonts w:ascii="Times New Roman" w:eastAsia="Times New Roman"/>
        </w:rPr>
        <w:t>1 </w:t>
      </w:r>
      <w:r>
        <w:rPr/>
        <w:t>个月， 可能导致母亲严重贫血和新生儿肾脏疾病。</w:t>
      </w:r>
      <w:r>
        <w:rPr>
          <w:rFonts w:ascii="Times New Roman" w:eastAsia="Times New Roman"/>
        </w:rPr>
        <w:t>2014 </w:t>
      </w:r>
      <w:r>
        <w:rPr/>
        <w:t>年，发表在《美国医学会杂志》的一项研</w:t>
      </w:r>
      <w:r>
        <w:rPr>
          <w:spacing w:val="-12"/>
        </w:rPr>
        <w:t>究发现，该药物可能与后代自闭与多动症有关，所以仍应该避免长期大剂量使用对乙酰氨基</w:t>
      </w:r>
      <w:r>
        <w:rPr/>
        <w:t>酚。</w:t>
      </w:r>
    </w:p>
    <w:p>
      <w:pPr>
        <w:pStyle w:val="BodyText"/>
        <w:spacing w:line="297" w:lineRule="auto"/>
        <w:ind w:right="1130" w:firstLine="480"/>
        <w:jc w:val="both"/>
      </w:pPr>
      <w:r>
        <w:rPr>
          <w:spacing w:val="-7"/>
        </w:rPr>
        <w:t>如果对乙酰氨基酚对疼痛已经不起作用，必须服用其他止痛药物之前向医生和药师进行</w:t>
      </w:r>
      <w:r>
        <w:rPr>
          <w:spacing w:val="-11"/>
        </w:rPr>
        <w:t>咨询，进行评估非常重要。对于偏头痛，必须使用止痛药治疗时，首选布洛芬，但应避免在</w:t>
      </w:r>
      <w:r>
        <w:rPr>
          <w:spacing w:val="-9"/>
        </w:rPr>
        <w:t>妊娠早期和孕 </w:t>
      </w:r>
      <w:r>
        <w:rPr>
          <w:rFonts w:ascii="Times New Roman" w:eastAsia="Times New Roman"/>
        </w:rPr>
        <w:t>30 </w:t>
      </w:r>
      <w:r>
        <w:rPr/>
        <w:t>周后使用。</w:t>
      </w:r>
    </w:p>
    <w:p>
      <w:pPr>
        <w:pStyle w:val="Heading3"/>
        <w:spacing w:line="304" w:lineRule="exact"/>
        <w:rPr>
          <w:rFonts w:ascii="宋体" w:eastAsia="宋体" w:hint="eastAsia"/>
        </w:rPr>
      </w:pPr>
      <w:r>
        <w:rPr>
          <w:rFonts w:ascii="宋体" w:eastAsia="宋体" w:hint="eastAsia"/>
        </w:rPr>
        <w:t>吃了止痛药，孩子还能要吗？</w:t>
      </w:r>
    </w:p>
    <w:p>
      <w:pPr>
        <w:pStyle w:val="ListParagraph"/>
        <w:numPr>
          <w:ilvl w:val="0"/>
          <w:numId w:val="12"/>
        </w:numPr>
        <w:tabs>
          <w:tab w:pos="879" w:val="left" w:leader="none"/>
        </w:tabs>
        <w:spacing w:line="240" w:lineRule="auto" w:before="66" w:after="0"/>
        <w:ind w:left="878" w:right="0" w:hanging="181"/>
        <w:jc w:val="left"/>
        <w:rPr>
          <w:sz w:val="24"/>
        </w:rPr>
      </w:pPr>
      <w:r>
        <w:rPr>
          <w:sz w:val="24"/>
        </w:rPr>
        <w:t>受精后两周内（</w:t>
      </w:r>
      <w:r>
        <w:rPr>
          <w:spacing w:val="-20"/>
          <w:sz w:val="24"/>
        </w:rPr>
        <w:t>停经 </w:t>
      </w:r>
      <w:r>
        <w:rPr>
          <w:rFonts w:ascii="Times New Roman" w:eastAsia="Times New Roman"/>
          <w:sz w:val="24"/>
        </w:rPr>
        <w:t>4 </w:t>
      </w:r>
      <w:r>
        <w:rPr>
          <w:sz w:val="24"/>
        </w:rPr>
        <w:t>周内）</w:t>
      </w:r>
    </w:p>
    <w:p>
      <w:pPr>
        <w:pStyle w:val="BodyText"/>
        <w:spacing w:line="297" w:lineRule="auto" w:before="72"/>
        <w:ind w:right="1014" w:firstLine="480"/>
      </w:pPr>
      <w:r>
        <w:rPr/>
        <w:t>该时期药物对胚胎的影响是</w:t>
      </w:r>
      <w:r>
        <w:rPr>
          <w:rFonts w:ascii="Calibri" w:hAnsi="Calibri" w:eastAsia="Calibri"/>
        </w:rPr>
        <w:t>“</w:t>
      </w:r>
      <w:r>
        <w:rPr/>
        <w:t>全</w:t>
      </w:r>
      <w:r>
        <w:rPr>
          <w:rFonts w:ascii="Calibri" w:hAnsi="Calibri" w:eastAsia="Calibri"/>
        </w:rPr>
        <w:t>”</w:t>
      </w:r>
      <w:r>
        <w:rPr/>
        <w:t>或</w:t>
      </w:r>
      <w:r>
        <w:rPr>
          <w:rFonts w:ascii="Calibri" w:hAnsi="Calibri" w:eastAsia="Calibri"/>
        </w:rPr>
        <w:t>“</w:t>
      </w:r>
      <w:r>
        <w:rPr/>
        <w:t>无</w:t>
      </w:r>
      <w:r>
        <w:rPr>
          <w:rFonts w:ascii="Calibri" w:hAnsi="Calibri" w:eastAsia="Calibri"/>
        </w:rPr>
        <w:t>”</w:t>
      </w:r>
      <w:r>
        <w:rPr/>
        <w:t>。</w:t>
      </w:r>
      <w:r>
        <w:rPr>
          <w:rFonts w:ascii="Calibri" w:hAnsi="Calibri" w:eastAsia="Calibri"/>
        </w:rPr>
        <w:t>“</w:t>
      </w:r>
      <w:r>
        <w:rPr/>
        <w:t>全</w:t>
      </w:r>
      <w:r>
        <w:rPr>
          <w:rFonts w:ascii="Calibri" w:hAnsi="Calibri" w:eastAsia="Calibri"/>
        </w:rPr>
        <w:t>”</w:t>
      </w:r>
      <w:r>
        <w:rPr/>
        <w:t>：表现为胚胎早期死亡导致流产；</w:t>
      </w:r>
      <w:r>
        <w:rPr>
          <w:rFonts w:ascii="Calibri" w:hAnsi="Calibri" w:eastAsia="Calibri"/>
        </w:rPr>
        <w:t>“</w:t>
      </w:r>
      <w:r>
        <w:rPr/>
        <w:t>无</w:t>
      </w:r>
      <w:r>
        <w:rPr>
          <w:rFonts w:ascii="Calibri" w:hAnsi="Calibri" w:eastAsia="Calibri"/>
        </w:rPr>
        <w:t>”</w:t>
      </w:r>
      <w:r>
        <w:rPr/>
        <w:t>： </w:t>
      </w:r>
      <w:r>
        <w:rPr>
          <w:spacing w:val="-8"/>
        </w:rPr>
        <w:t>表现为胚胎继续发育，不出现异常。所以停经 </w:t>
      </w:r>
      <w:r>
        <w:rPr>
          <w:rFonts w:ascii="Times New Roman" w:hAnsi="Times New Roman" w:eastAsia="Times New Roman"/>
        </w:rPr>
        <w:t>4 </w:t>
      </w:r>
      <w:r>
        <w:rPr>
          <w:spacing w:val="-5"/>
        </w:rPr>
        <w:t>周内服药对孕妇而言，影响不大。当然由于</w:t>
      </w:r>
      <w:r>
        <w:rPr>
          <w:spacing w:val="-11"/>
        </w:rPr>
        <w:t>部分妇女月经周期不准、提前排卵等，存在末次月经推算与实际受孕天数不符的情况，所以最好到药物咨询门诊进行评估后，确定是否在</w:t>
      </w:r>
      <w:r>
        <w:rPr>
          <w:rFonts w:ascii="Calibri" w:hAnsi="Calibri" w:eastAsia="Calibri"/>
        </w:rPr>
        <w:t>“</w:t>
      </w:r>
      <w:r>
        <w:rPr/>
        <w:t>全</w:t>
      </w:r>
      <w:r>
        <w:rPr>
          <w:rFonts w:ascii="Calibri" w:hAnsi="Calibri" w:eastAsia="Calibri"/>
        </w:rPr>
        <w:t>”</w:t>
      </w:r>
      <w:r>
        <w:rPr/>
        <w:t>或</w:t>
      </w:r>
      <w:r>
        <w:rPr>
          <w:rFonts w:ascii="Calibri" w:hAnsi="Calibri" w:eastAsia="Calibri"/>
        </w:rPr>
        <w:t>“</w:t>
      </w:r>
      <w:r>
        <w:rPr/>
        <w:t>无</w:t>
      </w:r>
      <w:r>
        <w:rPr>
          <w:rFonts w:ascii="Calibri" w:hAnsi="Calibri" w:eastAsia="Calibri"/>
        </w:rPr>
        <w:t>”</w:t>
      </w:r>
      <w:r>
        <w:rPr/>
        <w:t>的安全范围内。若在这个范围内， 有流产迹象则不建议保胎，顺其自然。</w:t>
      </w:r>
    </w:p>
    <w:p>
      <w:pPr>
        <w:pStyle w:val="ListParagraph"/>
        <w:numPr>
          <w:ilvl w:val="0"/>
          <w:numId w:val="12"/>
        </w:numPr>
        <w:tabs>
          <w:tab w:pos="879" w:val="left" w:leader="none"/>
        </w:tabs>
        <w:spacing w:line="302" w:lineRule="exact" w:before="0" w:after="0"/>
        <w:ind w:left="878" w:right="0" w:hanging="181"/>
        <w:jc w:val="left"/>
        <w:rPr>
          <w:sz w:val="24"/>
        </w:rPr>
      </w:pPr>
      <w:r>
        <w:rPr>
          <w:spacing w:val="-16"/>
          <w:sz w:val="24"/>
        </w:rPr>
        <w:t>受精后 </w:t>
      </w:r>
      <w:r>
        <w:rPr>
          <w:rFonts w:ascii="Times New Roman" w:eastAsia="Times New Roman"/>
          <w:sz w:val="24"/>
        </w:rPr>
        <w:t>3 </w:t>
      </w:r>
      <w:r>
        <w:rPr>
          <w:sz w:val="24"/>
        </w:rPr>
        <w:t>周～</w:t>
      </w:r>
      <w:r>
        <w:rPr>
          <w:rFonts w:ascii="Times New Roman" w:eastAsia="Times New Roman"/>
          <w:sz w:val="24"/>
        </w:rPr>
        <w:t>8 </w:t>
      </w:r>
      <w:r>
        <w:rPr>
          <w:sz w:val="24"/>
        </w:rPr>
        <w:t>周（</w:t>
      </w:r>
      <w:r>
        <w:rPr>
          <w:spacing w:val="-20"/>
          <w:sz w:val="24"/>
        </w:rPr>
        <w:t>停经 </w:t>
      </w:r>
      <w:r>
        <w:rPr>
          <w:rFonts w:ascii="Times New Roman" w:eastAsia="Times New Roman"/>
          <w:sz w:val="24"/>
        </w:rPr>
        <w:t>5 </w:t>
      </w:r>
      <w:r>
        <w:rPr>
          <w:sz w:val="24"/>
        </w:rPr>
        <w:t>周～</w:t>
      </w:r>
      <w:r>
        <w:rPr>
          <w:rFonts w:ascii="Times New Roman" w:eastAsia="Times New Roman"/>
          <w:sz w:val="24"/>
        </w:rPr>
        <w:t>10 </w:t>
      </w:r>
      <w:r>
        <w:rPr>
          <w:sz w:val="24"/>
        </w:rPr>
        <w:t>周）</w:t>
      </w:r>
    </w:p>
    <w:p>
      <w:pPr>
        <w:pStyle w:val="BodyText"/>
        <w:spacing w:before="71"/>
        <w:ind w:left="697"/>
      </w:pPr>
      <w:r>
        <w:rPr/>
        <w:t>这个时期是胚胎敏感期，神经、心脏、肢体等开始发育，存在风险。研究表明，妊娠</w:t>
      </w:r>
    </w:p>
    <w:p>
      <w:pPr>
        <w:pStyle w:val="BodyText"/>
        <w:spacing w:line="297" w:lineRule="auto" w:before="72"/>
        <w:ind w:right="1130"/>
        <w:jc w:val="both"/>
      </w:pPr>
      <w:r>
        <w:rPr>
          <w:rFonts w:ascii="Times New Roman" w:eastAsia="Times New Roman"/>
        </w:rPr>
        <w:t>56 </w:t>
      </w:r>
      <w:r>
        <w:rPr/>
        <w:t>天以后，较大剂量使用解热镇痛药，可导致胎儿智力障碍和主动脉导管早期闭合，出现</w:t>
      </w:r>
      <w:r>
        <w:rPr>
          <w:spacing w:val="-10"/>
        </w:rPr>
        <w:t>死胎，所以服用解热镇痛药的剂量大小是关键，小剂量微乎其微，则无须过于焦虑，定期做</w:t>
      </w:r>
      <w:r>
        <w:rPr/>
        <w:t>产检和超声筛查。</w:t>
      </w:r>
    </w:p>
    <w:p>
      <w:pPr>
        <w:pStyle w:val="BodyText"/>
        <w:spacing w:line="304" w:lineRule="exact"/>
        <w:ind w:left="697"/>
      </w:pPr>
      <w:r>
        <w:rPr/>
        <w:t>作者：杭州市妇产科医院药剂科 苏倩 蔡宇庭</w:t>
      </w:r>
    </w:p>
    <w:p>
      <w:pPr>
        <w:pStyle w:val="Heading1"/>
        <w:spacing w:before="100"/>
        <w:ind w:left="125"/>
        <w:jc w:val="center"/>
        <w:rPr>
          <w:u w:val="none"/>
        </w:rPr>
      </w:pPr>
      <w:bookmarkStart w:name="_TOC_250005" w:id="40"/>
      <w:r>
        <w:rPr>
          <w:rFonts w:ascii="Times New Roman" w:eastAsia="Times New Roman"/>
          <w:color w:val="008000"/>
          <w:spacing w:val="-110"/>
          <w:w w:val="99"/>
          <w:u w:val="thick" w:color="008000"/>
        </w:rPr>
        <w:t> </w:t>
      </w:r>
      <w:bookmarkEnd w:id="40"/>
      <w:r>
        <w:rPr>
          <w:color w:val="008000"/>
          <w:u w:val="thick" w:color="008000"/>
        </w:rPr>
        <w:t>交流园地</w:t>
      </w:r>
    </w:p>
    <w:p>
      <w:pPr>
        <w:pStyle w:val="Heading2"/>
        <w:spacing w:before="140"/>
      </w:pPr>
      <w:bookmarkStart w:name="_TOC_250004" w:id="41"/>
      <w:bookmarkEnd w:id="41"/>
      <w:r>
        <w:rPr/>
        <w:t>【药师风采】</w:t>
      </w:r>
    </w:p>
    <w:p>
      <w:pPr>
        <w:pStyle w:val="BodyText"/>
        <w:spacing w:before="11"/>
        <w:ind w:left="0"/>
        <w:rPr>
          <w:b/>
          <w:sz w:val="22"/>
        </w:rPr>
      </w:pPr>
    </w:p>
    <w:p>
      <w:pPr>
        <w:pStyle w:val="Heading2"/>
        <w:spacing w:before="1"/>
        <w:ind w:left="3037"/>
      </w:pPr>
      <w:bookmarkStart w:name="_TOC_250003" w:id="42"/>
      <w:bookmarkEnd w:id="42"/>
      <w:r>
        <w:rPr/>
        <w:t>长春市人民医院——刘积威</w:t>
      </w:r>
    </w:p>
    <w:p>
      <w:pPr>
        <w:pStyle w:val="Heading3"/>
        <w:spacing w:before="66"/>
        <w:ind w:left="2674"/>
      </w:pPr>
      <w:r>
        <w:rPr/>
        <w:t>励志寄语：奉献职业良心，收获职业幸福。</w:t>
      </w:r>
    </w:p>
    <w:p>
      <w:pPr>
        <w:pStyle w:val="BodyText"/>
        <w:spacing w:line="312" w:lineRule="auto" w:before="91"/>
        <w:ind w:right="890" w:firstLine="480"/>
      </w:pPr>
      <w:r>
        <w:rPr>
          <w:spacing w:val="-2"/>
        </w:rPr>
        <w:t>刘积威，现任长春市人民医院临床药学中心主任，主任药师，从事药学工作 </w:t>
      </w:r>
      <w:r>
        <w:rPr/>
        <w:t>36</w:t>
      </w:r>
      <w:r>
        <w:rPr>
          <w:spacing w:val="-13"/>
        </w:rPr>
        <w:t> 年。致</w:t>
      </w:r>
      <w:r>
        <w:rPr>
          <w:spacing w:val="-17"/>
        </w:rPr>
        <w:t>力于医院药学研究与药事管理工作，引领全科药师由药品调剂型向药学专业技术服务型转变； </w:t>
      </w:r>
      <w:r>
        <w:rPr>
          <w:spacing w:val="-10"/>
        </w:rPr>
        <w:t>建章立制，完善工作流程，细化技术要点，促进药师技能整体提升。坚持模范带头，身先士 卒，引领创新，充分发挥核心领导作用，为学科发展打下坚实基础。</w:t>
      </w:r>
    </w:p>
    <w:p>
      <w:pPr>
        <w:pStyle w:val="BodyText"/>
        <w:spacing w:line="312" w:lineRule="auto" w:before="2"/>
        <w:ind w:right="1014" w:firstLine="480"/>
      </w:pPr>
      <w:r>
        <w:rPr>
          <w:spacing w:val="-9"/>
        </w:rPr>
        <w:t>组织药师编写《医院处方集》、《医院药物临床应用须知》，为临床依法用药、规范用</w:t>
      </w:r>
      <w:r>
        <w:rPr>
          <w:spacing w:val="-10"/>
        </w:rPr>
        <w:t>药提供依据，保障医疗用药安全。带头开展用药咨询，探索提高用药咨询服务水平和技能， </w:t>
      </w:r>
      <w:r>
        <w:rPr>
          <w:spacing w:val="-6"/>
        </w:rPr>
        <w:t>促进门诊药师技术服务能力提升，纠正患者用药认知误区，保障患者用药的安全性。面对住</w:t>
      </w:r>
    </w:p>
    <w:p>
      <w:pPr>
        <w:spacing w:after="0" w:line="312" w:lineRule="auto"/>
        <w:sectPr>
          <w:pgSz w:w="11910" w:h="16850"/>
          <w:pgMar w:header="906" w:footer="607" w:top="1100" w:bottom="800" w:left="1060" w:right="0"/>
        </w:sectPr>
      </w:pPr>
    </w:p>
    <w:p>
      <w:pPr>
        <w:pStyle w:val="BodyText"/>
        <w:spacing w:line="312" w:lineRule="auto" w:before="79"/>
        <w:ind w:right="1127"/>
        <w:jc w:val="both"/>
      </w:pPr>
      <w:r>
        <w:rPr>
          <w:spacing w:val="-9"/>
        </w:rPr>
        <w:t>院患者，率领药师开展每周定期查房，根据临床诊断，从药物的理化性质、体内过程、作用</w:t>
      </w:r>
      <w:r>
        <w:rPr>
          <w:spacing w:val="-12"/>
        </w:rPr>
        <w:t>特点、药物不良反应、药物互相影响等方面评估药物品种的选择、给药剂量、给药时机、疗</w:t>
      </w:r>
      <w:r>
        <w:rPr>
          <w:spacing w:val="-16"/>
        </w:rPr>
        <w:t>程的合理性等提出药学建议。对药学会诊的患者进行全程关注，评价药物疗效，调整用药方</w:t>
      </w:r>
      <w:r>
        <w:rPr/>
        <w:t>案。</w:t>
      </w:r>
    </w:p>
    <w:p>
      <w:pPr>
        <w:pStyle w:val="BodyText"/>
        <w:spacing w:line="312" w:lineRule="auto"/>
        <w:ind w:right="889" w:firstLine="480"/>
      </w:pPr>
      <w:r>
        <w:rPr>
          <w:spacing w:val="-8"/>
        </w:rPr>
        <w:t>关注药师团队整体技术能力的提升，连续多年担任省级学术会议主持人和技能竞赛评委， </w:t>
      </w:r>
      <w:r>
        <w:rPr>
          <w:spacing w:val="-10"/>
        </w:rPr>
        <w:t>带领本院药师参加吉林省药学会科普安全用药—“药盾之光”演说及展板大赛，并荣获 </w:t>
      </w:r>
      <w:r>
        <w:rPr/>
        <w:t>2016</w:t>
      </w:r>
    </w:p>
    <w:p>
      <w:pPr>
        <w:pStyle w:val="BodyText"/>
        <w:spacing w:line="312" w:lineRule="auto" w:before="2"/>
        <w:ind w:right="1007"/>
        <w:jc w:val="both"/>
      </w:pPr>
      <w:r>
        <w:rPr>
          <w:spacing w:val="-3"/>
        </w:rPr>
        <w:t>年“药盾之光”大赛“优秀组织奖”，参加吉林省药学会 </w:t>
      </w:r>
      <w:r>
        <w:rPr/>
        <w:t>2016</w:t>
      </w:r>
      <w:r>
        <w:rPr>
          <w:spacing w:val="-8"/>
        </w:rPr>
        <w:t> 年“中国药师职业技能大赛</w:t>
      </w:r>
      <w:r>
        <w:rPr>
          <w:spacing w:val="-12"/>
        </w:rPr>
        <w:t>吉林省选拔赛”并荣获“团队三等奖”；担任吉林省药学会“赛诺菲”杯医院药学药师技能</w:t>
      </w:r>
      <w:r>
        <w:rPr>
          <w:spacing w:val="-15"/>
        </w:rPr>
        <w:t>大赛长春市联队总领队和总指导，并荣获 </w:t>
      </w:r>
      <w:r>
        <w:rPr/>
        <w:t>2015</w:t>
      </w:r>
      <w:r>
        <w:rPr>
          <w:spacing w:val="-10"/>
        </w:rPr>
        <w:t> 年“赛诺菲”大赛三等奖、</w:t>
      </w:r>
      <w:r>
        <w:rPr/>
        <w:t>2016</w:t>
      </w:r>
      <w:r>
        <w:rPr>
          <w:spacing w:val="-10"/>
        </w:rPr>
        <w:t> 年大赛三等</w:t>
      </w:r>
      <w:r>
        <w:rPr>
          <w:spacing w:val="11"/>
        </w:rPr>
        <w:t>奖和</w:t>
      </w:r>
      <w:r>
        <w:rPr/>
        <w:t>2017</w:t>
      </w:r>
      <w:r>
        <w:rPr>
          <w:spacing w:val="-20"/>
        </w:rPr>
        <w:t> 年大赛二等奖，荣获</w:t>
      </w:r>
      <w:r>
        <w:rPr/>
        <w:t>2017</w:t>
      </w:r>
      <w:r>
        <w:rPr>
          <w:spacing w:val="-21"/>
        </w:rPr>
        <w:t> 年中国药学会全国医药经济信息网“信息工作先进单位”，</w:t>
      </w:r>
    </w:p>
    <w:p>
      <w:pPr>
        <w:pStyle w:val="BodyText"/>
      </w:pPr>
      <w:r>
        <w:rPr/>
        <w:t>2015 年吉林省医药经济信息分网工作先进单位。</w:t>
      </w:r>
    </w:p>
    <w:p>
      <w:pPr>
        <w:pStyle w:val="BodyText"/>
        <w:spacing w:line="312" w:lineRule="auto" w:before="93"/>
        <w:ind w:right="1127" w:firstLine="480"/>
        <w:jc w:val="both"/>
      </w:pPr>
      <w:r>
        <w:rPr>
          <w:spacing w:val="-8"/>
        </w:rPr>
        <w:t>兼任吉林省药学会理事、医院药学专业委员会副主任委员、药物信息专业委员会常务委</w:t>
      </w:r>
      <w:r>
        <w:rPr>
          <w:spacing w:val="-21"/>
        </w:rPr>
        <w:t>员、安全用药专业委员会委员、药事管理专业委员会委员、科普工作组长春地区区域副主任， </w:t>
      </w:r>
      <w:r>
        <w:rPr>
          <w:spacing w:val="-25"/>
        </w:rPr>
        <w:t>吉林省医院医疗保险研究会药品评价专家委员会常务委员，吉林省健康管理学会医院药学专</w:t>
      </w:r>
      <w:r>
        <w:rPr/>
        <w:t>业委员会常务委员，吉林省居家养老协会药学专家委员会常务委员。</w:t>
      </w:r>
    </w:p>
    <w:p>
      <w:pPr>
        <w:pStyle w:val="BodyText"/>
        <w:spacing w:before="1"/>
        <w:ind w:left="0"/>
        <w:rPr>
          <w:sz w:val="17"/>
        </w:rPr>
      </w:pPr>
    </w:p>
    <w:p>
      <w:pPr>
        <w:pStyle w:val="Heading2"/>
        <w:spacing w:before="1"/>
        <w:ind w:left="3037"/>
      </w:pPr>
      <w:bookmarkStart w:name="_TOC_250002" w:id="43"/>
      <w:bookmarkEnd w:id="43"/>
      <w:r>
        <w:rPr/>
        <w:t>延边大学附属医院——姜哲</w:t>
      </w:r>
    </w:p>
    <w:p>
      <w:pPr>
        <w:pStyle w:val="Heading3"/>
        <w:spacing w:before="64"/>
        <w:ind w:left="507"/>
      </w:pPr>
      <w:r>
        <w:rPr/>
        <w:t>励志寄语：药学路上无难事，搏击风浪有心人。同心协力逐梦想，砥砺前行更远航！</w:t>
      </w:r>
    </w:p>
    <w:p>
      <w:pPr>
        <w:pStyle w:val="BodyText"/>
        <w:spacing w:line="312" w:lineRule="auto" w:before="93"/>
        <w:ind w:right="1014" w:firstLine="480"/>
      </w:pPr>
      <w:r>
        <w:rPr/>
        <w:t>姜哲，现任延边大学附属医院副院长兼药学部主任，延边大学附属医院西区医院院长， 副主任药师，硕士生导师，吉林省第三层次拔尖创新人才，从事药学工作 19 年。主要负责医院药事管理及临床药学等工作。</w:t>
      </w:r>
    </w:p>
    <w:p>
      <w:pPr>
        <w:pStyle w:val="BodyText"/>
        <w:spacing w:line="312" w:lineRule="auto" w:before="1"/>
        <w:ind w:right="1126" w:firstLine="480"/>
        <w:jc w:val="both"/>
      </w:pPr>
      <w:r>
        <w:rPr>
          <w:spacing w:val="-7"/>
        </w:rPr>
        <w:t>带领全科投入科室发展和学科建设，通过完善科室各项制度，建立科学绩效体系，使科</w:t>
      </w:r>
      <w:r>
        <w:rPr>
          <w:spacing w:val="-3"/>
        </w:rPr>
        <w:t>室工作质量稳步提升。注重人才培养，带领科室 </w:t>
      </w:r>
      <w:r>
        <w:rPr/>
        <w:t>2017</w:t>
      </w:r>
      <w:r>
        <w:rPr>
          <w:spacing w:val="-8"/>
        </w:rPr>
        <w:t> 年获批全国首批中华医学会临床药师</w:t>
      </w:r>
      <w:r>
        <w:rPr>
          <w:spacing w:val="-14"/>
        </w:rPr>
        <w:t>培训中心，推动全省临床药师队伍建设。高度重视教学科研工作，科室 </w:t>
      </w:r>
      <w:r>
        <w:rPr/>
        <w:t>SCI</w:t>
      </w:r>
      <w:r>
        <w:rPr>
          <w:spacing w:val="-10"/>
        </w:rPr>
        <w:t> 论文数连续三年</w:t>
      </w:r>
      <w:r>
        <w:rPr/>
        <w:t>位居全院前三位。</w:t>
      </w:r>
    </w:p>
    <w:p>
      <w:pPr>
        <w:pStyle w:val="BodyText"/>
        <w:spacing w:line="312" w:lineRule="auto"/>
        <w:ind w:right="1127" w:firstLine="480"/>
      </w:pPr>
      <w:r>
        <w:rPr/>
        <w:t>2015</w:t>
      </w:r>
      <w:r>
        <w:rPr>
          <w:spacing w:val="-31"/>
        </w:rPr>
        <w:t> 年和 </w:t>
      </w:r>
      <w:r>
        <w:rPr/>
        <w:t>2016</w:t>
      </w:r>
      <w:r>
        <w:rPr>
          <w:spacing w:val="-14"/>
        </w:rPr>
        <w:t> 年分别获批国家级、省级继续教育项目。</w:t>
      </w:r>
      <w:r>
        <w:rPr/>
        <w:t>2016</w:t>
      </w:r>
      <w:r>
        <w:rPr>
          <w:spacing w:val="-9"/>
        </w:rPr>
        <w:t> 年承办吉林省医学会临床</w:t>
      </w:r>
      <w:r>
        <w:rPr/>
        <w:t>药学分会学术年会，2017</w:t>
      </w:r>
      <w:r>
        <w:rPr>
          <w:spacing w:val="-8"/>
        </w:rPr>
        <w:t> 年承办中国药学会医院药学专业委员会基层药学组培训班，</w:t>
      </w:r>
      <w:r>
        <w:rPr/>
        <w:t>2018 </w:t>
      </w:r>
      <w:r>
        <w:rPr>
          <w:spacing w:val="-6"/>
        </w:rPr>
        <w:t>年承办吉林省药学会医院药学专业委员会学术年会，为促进全省药师服务能力提升做出积极</w:t>
      </w:r>
      <w:r>
        <w:rPr/>
        <w:t>贡献。</w:t>
      </w:r>
    </w:p>
    <w:p>
      <w:pPr>
        <w:pStyle w:val="BodyText"/>
        <w:spacing w:line="312" w:lineRule="auto" w:before="2"/>
        <w:ind w:right="1127" w:firstLine="480"/>
      </w:pPr>
      <w:r>
        <w:rPr>
          <w:spacing w:val="-4"/>
        </w:rPr>
        <w:t>所在单位获得吉林省医药经济信息分网 </w:t>
      </w:r>
      <w:r>
        <w:rPr/>
        <w:t>2015</w:t>
      </w:r>
      <w:r>
        <w:rPr>
          <w:spacing w:val="-21"/>
        </w:rPr>
        <w:t> 年度、</w:t>
      </w:r>
      <w:r>
        <w:rPr/>
        <w:t>2016</w:t>
      </w:r>
      <w:r>
        <w:rPr>
          <w:spacing w:val="-11"/>
        </w:rPr>
        <w:t> 年度信息工作先进单位，延边</w:t>
      </w:r>
      <w:r>
        <w:rPr>
          <w:spacing w:val="-8"/>
        </w:rPr>
        <w:t>大学先进基层党组织、先进工会小组，医院先进党支部、“三好一满意”先进集体，在全省</w:t>
      </w:r>
    </w:p>
    <w:p>
      <w:pPr>
        <w:pStyle w:val="BodyText"/>
        <w:spacing w:line="312" w:lineRule="auto"/>
        <w:ind w:right="1131"/>
        <w:jc w:val="both"/>
      </w:pPr>
      <w:r>
        <w:rPr>
          <w:spacing w:val="-7"/>
        </w:rPr>
        <w:t>“医院药师技能大赛”中连续三年取得优异成绩；</w:t>
      </w:r>
      <w:r>
        <w:rPr>
          <w:spacing w:val="-11"/>
        </w:rPr>
        <w:t>2016</w:t>
      </w:r>
      <w:r>
        <w:rPr>
          <w:spacing w:val="-13"/>
        </w:rPr>
        <w:t> 年荣获吉林省卫生计生委颁发的“全</w:t>
      </w:r>
      <w:r>
        <w:rPr/>
        <w:t>省医院品管圈成果展示二等奖”。</w:t>
      </w:r>
    </w:p>
    <w:p>
      <w:pPr>
        <w:pStyle w:val="BodyText"/>
        <w:spacing w:before="2"/>
        <w:ind w:left="697"/>
      </w:pPr>
      <w:r>
        <w:rPr/>
        <w:t>承担 1 项吉林省科技厅项目，参与 2 项国家自然科学基金项目，2015 年以来发表论文</w:t>
      </w:r>
    </w:p>
    <w:p>
      <w:pPr>
        <w:pStyle w:val="BodyText"/>
        <w:spacing w:line="312" w:lineRule="auto" w:before="91"/>
        <w:ind w:right="1129"/>
        <w:jc w:val="both"/>
      </w:pPr>
      <w:r>
        <w:rPr/>
        <w:t>15</w:t>
      </w:r>
      <w:r>
        <w:rPr>
          <w:spacing w:val="-26"/>
        </w:rPr>
        <w:t> 篇，其中 </w:t>
      </w:r>
      <w:r>
        <w:rPr/>
        <w:t>SCI</w:t>
      </w:r>
      <w:r>
        <w:rPr>
          <w:spacing w:val="-30"/>
        </w:rPr>
        <w:t> 论文 </w:t>
      </w:r>
      <w:r>
        <w:rPr/>
        <w:t>13</w:t>
      </w:r>
      <w:r>
        <w:rPr>
          <w:spacing w:val="-19"/>
        </w:rPr>
        <w:t> 篇，核心期刊 </w:t>
      </w:r>
      <w:r>
        <w:rPr/>
        <w:t>2</w:t>
      </w:r>
      <w:r>
        <w:rPr>
          <w:spacing w:val="-25"/>
        </w:rPr>
        <w:t> 篇，编著 </w:t>
      </w:r>
      <w:r>
        <w:rPr/>
        <w:t>1</w:t>
      </w:r>
      <w:r>
        <w:rPr>
          <w:spacing w:val="-22"/>
        </w:rPr>
        <w:t> 部，</w:t>
      </w:r>
      <w:r>
        <w:rPr>
          <w:spacing w:val="-6"/>
        </w:rPr>
        <w:t>2015</w:t>
      </w:r>
      <w:r>
        <w:rPr>
          <w:spacing w:val="-9"/>
        </w:rPr>
        <w:t> 年荣获吉林省自然科学成果三</w:t>
      </w:r>
      <w:r>
        <w:rPr/>
        <w:t>等奖。</w:t>
      </w:r>
    </w:p>
    <w:p>
      <w:pPr>
        <w:spacing w:after="0" w:line="312" w:lineRule="auto"/>
        <w:jc w:val="both"/>
        <w:sectPr>
          <w:pgSz w:w="11910" w:h="16850"/>
          <w:pgMar w:header="906" w:footer="607" w:top="1100" w:bottom="800" w:left="1060" w:right="0"/>
        </w:sectPr>
      </w:pPr>
    </w:p>
    <w:p>
      <w:pPr>
        <w:pStyle w:val="BodyText"/>
        <w:spacing w:line="312" w:lineRule="auto" w:before="79"/>
        <w:ind w:right="1127" w:firstLine="480"/>
        <w:jc w:val="both"/>
      </w:pPr>
      <w:r>
        <w:rPr>
          <w:spacing w:val="-5"/>
        </w:rPr>
        <w:t>兼任中国药学会医院药学专业委员会基层药物学学组秘书，中国医院协会药事管理专业</w:t>
      </w:r>
      <w:r>
        <w:rPr>
          <w:spacing w:val="-10"/>
        </w:rPr>
        <w:t>委员会委员，中国研究型医院学会药物评价专业委员会委员，吉林省药学会医院药学专业委</w:t>
      </w:r>
      <w:r>
        <w:rPr>
          <w:spacing w:val="-9"/>
        </w:rPr>
        <w:t>员会副主任委员、药理专业委员会委员、安全用药专业委员会科普工作组区域主任、医院药品流通信息学组组长，省医院医疗保险研究会药品评价专业委员会委员，省药事质控中心副</w:t>
      </w:r>
      <w:r>
        <w:rPr/>
        <w:t>主任，延边州药学会医院药学专业委员会主任委员，《中国药房》编委等。</w:t>
      </w:r>
    </w:p>
    <w:p>
      <w:pPr>
        <w:pStyle w:val="BodyText"/>
        <w:ind w:left="0"/>
        <w:rPr>
          <w:sz w:val="17"/>
        </w:rPr>
      </w:pPr>
    </w:p>
    <w:p>
      <w:pPr>
        <w:pStyle w:val="Heading2"/>
        <w:spacing w:before="1"/>
        <w:ind w:left="2233"/>
      </w:pPr>
      <w:bookmarkStart w:name="_TOC_250001" w:id="44"/>
      <w:bookmarkEnd w:id="44"/>
      <w:r>
        <w:rPr/>
        <w:t>牡丹江医学院附属红旗医院——丛军兹</w:t>
      </w:r>
    </w:p>
    <w:p>
      <w:pPr>
        <w:pStyle w:val="Heading3"/>
        <w:spacing w:before="63"/>
        <w:ind w:left="807"/>
      </w:pPr>
      <w:r>
        <w:rPr/>
        <w:t>励志寄语：修德立人，尽心尽责;善技为民，唯实唯新；合理用药，服务社会。</w:t>
      </w:r>
    </w:p>
    <w:p>
      <w:pPr>
        <w:pStyle w:val="BodyText"/>
        <w:spacing w:line="312" w:lineRule="auto" w:before="93"/>
        <w:ind w:right="1129" w:firstLine="480"/>
        <w:jc w:val="both"/>
      </w:pPr>
      <w:r>
        <w:rPr>
          <w:spacing w:val="-21"/>
        </w:rPr>
        <w:t>丛军兹，现任牡丹江医学院附属红旗医院药学部主任，主任药师，临床药理教研室主任、</w:t>
      </w:r>
      <w:r>
        <w:rPr>
          <w:spacing w:val="-7"/>
        </w:rPr>
        <w:t>教授，从事药学工作 </w:t>
      </w:r>
      <w:r>
        <w:rPr/>
        <w:t>25</w:t>
      </w:r>
      <w:r>
        <w:rPr>
          <w:spacing w:val="-8"/>
        </w:rPr>
        <w:t> 年。负责药学部全面工作，落实辅助用药物及抗菌药物的管理，加</w:t>
      </w:r>
      <w:r>
        <w:rPr>
          <w:spacing w:val="-22"/>
        </w:rPr>
        <w:t>强合理用药，编辑《药品经营质量管理文件汇编》等，受到同行好评，在开展“医院管理年” </w:t>
      </w:r>
      <w:r>
        <w:rPr>
          <w:spacing w:val="-3"/>
        </w:rPr>
        <w:t>活动期间，制定《药剂科工作质量考核标准》，编辑文字材料近 </w:t>
      </w:r>
      <w:r>
        <w:rPr/>
        <w:t>20</w:t>
      </w:r>
      <w:r>
        <w:rPr>
          <w:spacing w:val="-8"/>
        </w:rPr>
        <w:t> 万字，部分内容已作为牡丹江市执业医师培训的参考教材，医院率先获得本市“规范药房”称号。</w:t>
      </w:r>
    </w:p>
    <w:p>
      <w:pPr>
        <w:pStyle w:val="BodyText"/>
        <w:spacing w:line="312" w:lineRule="auto" w:before="1"/>
        <w:ind w:right="1130" w:firstLine="480"/>
        <w:jc w:val="both"/>
      </w:pPr>
      <w:r>
        <w:rPr>
          <w:spacing w:val="-7"/>
        </w:rPr>
        <w:t>多次被邀请在牡丹江市医疗机构表彰大会、全市药品不良反应监测工作会议上做总结发</w:t>
      </w:r>
      <w:r>
        <w:rPr>
          <w:spacing w:val="-3"/>
        </w:rPr>
        <w:t>言；注重科室人才培养，先后引进十余名硕士生，培养临床药师 </w:t>
      </w:r>
      <w:r>
        <w:rPr/>
        <w:t>5</w:t>
      </w:r>
      <w:r>
        <w:rPr>
          <w:spacing w:val="-20"/>
        </w:rPr>
        <w:t> 名，深入 </w:t>
      </w:r>
      <w:r>
        <w:rPr/>
        <w:t>10</w:t>
      </w:r>
      <w:r>
        <w:rPr>
          <w:spacing w:val="-10"/>
        </w:rPr>
        <w:t> 余个临床科室，临床药师的工作受到临床医生的好评。</w:t>
      </w:r>
    </w:p>
    <w:p>
      <w:pPr>
        <w:pStyle w:val="BodyText"/>
        <w:spacing w:line="312" w:lineRule="auto" w:before="1"/>
        <w:ind w:right="1131" w:firstLine="480"/>
        <w:jc w:val="both"/>
      </w:pPr>
      <w:r>
        <w:rPr>
          <w:spacing w:val="-5"/>
        </w:rPr>
        <w:t>举办黑龙江省继续教育项目 </w:t>
      </w:r>
      <w:r>
        <w:rPr/>
        <w:t>1</w:t>
      </w:r>
      <w:r>
        <w:rPr>
          <w:spacing w:val="-14"/>
        </w:rPr>
        <w:t> 项；在黑龙江省药学会，牡丹江市卫计委、药监局，医院</w:t>
      </w:r>
      <w:r>
        <w:rPr/>
        <w:t>和外县曾做多次专业学术讲座，2016</w:t>
      </w:r>
      <w:r>
        <w:rPr>
          <w:spacing w:val="-8"/>
        </w:rPr>
        <w:t> 年主持黑龙江省临床药学质控中心巡查</w:t>
      </w:r>
      <w:r>
        <w:rPr/>
        <w:t>（牡丹江站） 会议，2017</w:t>
      </w:r>
      <w:r>
        <w:rPr>
          <w:spacing w:val="-8"/>
        </w:rPr>
        <w:t> 年在黑、吉两省药学会议上做专业讲座。</w:t>
      </w:r>
    </w:p>
    <w:p>
      <w:pPr>
        <w:pStyle w:val="BodyText"/>
        <w:spacing w:before="1"/>
        <w:ind w:left="697"/>
      </w:pPr>
      <w:r>
        <w:rPr/>
        <w:t>主持完成省级科研课题 3 项，医学院课题 2 项，专利项目 2 项，论著 2 部，发表论文</w:t>
      </w:r>
    </w:p>
    <w:p>
      <w:pPr>
        <w:pStyle w:val="BodyText"/>
        <w:spacing w:before="94"/>
      </w:pPr>
      <w:r>
        <w:rPr/>
        <w:t>30 余篇；获黑龙江省卫生厅科技进步三等奖 1 项、医学院科技进步三等奖 1 项。</w:t>
      </w:r>
    </w:p>
    <w:p>
      <w:pPr>
        <w:pStyle w:val="BodyText"/>
        <w:spacing w:line="312" w:lineRule="auto" w:before="93"/>
        <w:ind w:right="1014" w:firstLine="480"/>
      </w:pPr>
      <w:r>
        <w:rPr>
          <w:spacing w:val="-5"/>
        </w:rPr>
        <w:t>获中国药学会全国医药经济信息网“信息工作先进单位”，黑龙江省药学会首届“优秀</w:t>
      </w:r>
      <w:r>
        <w:rPr>
          <w:spacing w:val="-6"/>
        </w:rPr>
        <w:t>药师”，省药学会知识竞赛团体二等奖，牡丹江市药品不良反应工作先进个人、先进单位， </w:t>
      </w:r>
      <w:r>
        <w:rPr/>
        <w:t>多次荣获学院优秀教师、优秀共产党员称号。</w:t>
      </w:r>
    </w:p>
    <w:p>
      <w:pPr>
        <w:pStyle w:val="BodyText"/>
        <w:spacing w:line="312" w:lineRule="auto" w:before="1"/>
        <w:ind w:right="1127" w:firstLine="480"/>
        <w:jc w:val="both"/>
      </w:pPr>
      <w:r>
        <w:rPr>
          <w:spacing w:val="-6"/>
        </w:rPr>
        <w:t>兼任黑龙江省药学会药剂专业委员会副主任委员，黑龙江省医院协会药事管理专业委员</w:t>
      </w:r>
      <w:r>
        <w:rPr>
          <w:spacing w:val="-10"/>
        </w:rPr>
        <w:t>会委员，牡丹江市药学会副会长，牡丹江市医学会临床药学专业委员会主任委员，牡丹江市</w:t>
      </w:r>
      <w:r>
        <w:rPr/>
        <w:t>临床药学质量控制中心副主任，牡丹江市二级以上医院巡查组成员等。</w:t>
      </w:r>
    </w:p>
    <w:p>
      <w:pPr>
        <w:pStyle w:val="BodyText"/>
        <w:spacing w:before="1"/>
        <w:ind w:left="0"/>
        <w:rPr>
          <w:sz w:val="17"/>
        </w:rPr>
      </w:pPr>
    </w:p>
    <w:p>
      <w:pPr>
        <w:pStyle w:val="Heading2"/>
        <w:ind w:left="2877"/>
      </w:pPr>
      <w:bookmarkStart w:name="_TOC_250000" w:id="45"/>
      <w:bookmarkEnd w:id="45"/>
      <w:r>
        <w:rPr/>
        <w:t>佳木斯市中心医院——张力华</w:t>
      </w:r>
    </w:p>
    <w:p>
      <w:pPr>
        <w:pStyle w:val="Heading3"/>
        <w:spacing w:before="63"/>
        <w:ind w:left="2194"/>
      </w:pPr>
      <w:r>
        <w:rPr/>
        <w:t>励志寄语：扎根基层药学服务，关注患者用药安全。</w:t>
      </w:r>
    </w:p>
    <w:p>
      <w:pPr>
        <w:pStyle w:val="BodyText"/>
        <w:spacing w:line="312" w:lineRule="auto" w:before="94"/>
        <w:ind w:right="1127" w:firstLine="480"/>
        <w:jc w:val="both"/>
      </w:pPr>
      <w:r>
        <w:rPr>
          <w:spacing w:val="-2"/>
        </w:rPr>
        <w:t>张力华，现任佳木斯市中心医院药剂科主任，主任药师，从事医院药学工作 </w:t>
      </w:r>
      <w:r>
        <w:rPr/>
        <w:t>30</w:t>
      </w:r>
      <w:r>
        <w:rPr>
          <w:spacing w:val="-15"/>
        </w:rPr>
        <w:t> 年。注重科室管理，修订完善各项工作制度和操作规程，创建医院药品质量管理体系，组建静脉用</w:t>
      </w:r>
      <w:r>
        <w:rPr>
          <w:spacing w:val="-9"/>
        </w:rPr>
        <w:t>药调配中心，逐步建立临床药学工作模式。立足专业能力、科研能力的培养，以药学人员整</w:t>
      </w:r>
      <w:r>
        <w:rPr>
          <w:spacing w:val="-14"/>
        </w:rPr>
        <w:t>体能力的提升带动学科建设，使调剂工作能力与临床药学工作能力齐头并进、相互促进，在</w:t>
      </w:r>
      <w:r>
        <w:rPr/>
        <w:t>医院药事管理及药学服务中发挥应有的作用。</w:t>
      </w:r>
    </w:p>
    <w:p>
      <w:pPr>
        <w:pStyle w:val="BodyText"/>
        <w:spacing w:line="312" w:lineRule="auto" w:before="1"/>
        <w:ind w:right="1132" w:firstLine="480"/>
        <w:jc w:val="both"/>
      </w:pPr>
      <w:r>
        <w:rPr>
          <w:spacing w:val="-6"/>
        </w:rPr>
        <w:t>在学科建设与人才培养上着眼发展方向，梯队建设设计在先，用好人、用对人，积极调</w:t>
      </w:r>
      <w:r>
        <w:rPr>
          <w:spacing w:val="-20"/>
        </w:rPr>
        <w:t>动药师工作积极性，发挥每个人的长处，充分利用药学会搭建的学科发展平台，采取多途径、</w:t>
      </w:r>
    </w:p>
    <w:p>
      <w:pPr>
        <w:spacing w:after="0" w:line="312" w:lineRule="auto"/>
        <w:jc w:val="both"/>
        <w:sectPr>
          <w:pgSz w:w="11910" w:h="16850"/>
          <w:pgMar w:header="906" w:footer="607" w:top="1100" w:bottom="800" w:left="1060" w:right="0"/>
        </w:sectPr>
      </w:pPr>
    </w:p>
    <w:p>
      <w:pPr>
        <w:pStyle w:val="BodyText"/>
        <w:spacing w:line="312" w:lineRule="auto" w:before="79"/>
        <w:ind w:right="1127"/>
      </w:pPr>
      <w:r>
        <w:rPr>
          <w:spacing w:val="-11"/>
        </w:rPr>
        <w:t>多视角、全方位地培养调剂药师和药事管理相关岗位药师，依托国家临床药师培训基地培养</w:t>
      </w:r>
      <w:r>
        <w:rPr/>
        <w:t>临床药师，在医院合理用药管理中发挥作用。</w:t>
      </w:r>
    </w:p>
    <w:p>
      <w:pPr>
        <w:pStyle w:val="BodyText"/>
        <w:spacing w:line="312" w:lineRule="auto"/>
        <w:ind w:right="1127" w:firstLine="480"/>
        <w:jc w:val="both"/>
      </w:pPr>
      <w:r>
        <w:rPr>
          <w:spacing w:val="-5"/>
        </w:rPr>
        <w:t>借助中国药学会医院药学专业委员会基层药学学组委员单位的平台，承办基层药师技能</w:t>
      </w:r>
      <w:r>
        <w:rPr>
          <w:spacing w:val="-10"/>
        </w:rPr>
        <w:t>培训项目，带动本地区基层药师能力的整体提升。通过参赛平台强化调剂药师能力培养，自</w:t>
      </w:r>
    </w:p>
    <w:p>
      <w:pPr>
        <w:pStyle w:val="BodyText"/>
        <w:spacing w:line="307" w:lineRule="exact"/>
      </w:pPr>
      <w:r>
        <w:rPr/>
        <w:t>2012</w:t>
      </w:r>
      <w:r>
        <w:rPr>
          <w:spacing w:val="-18"/>
        </w:rPr>
        <w:t> 年以来，积极参与黑龙江省药学会主办的门诊调剂药师技能大赛，共获得一等奖 </w:t>
      </w:r>
      <w:r>
        <w:rPr/>
        <w:t>3</w:t>
      </w:r>
      <w:r>
        <w:rPr>
          <w:spacing w:val="-20"/>
        </w:rPr>
        <w:t> 项，</w:t>
      </w:r>
    </w:p>
    <w:p>
      <w:pPr>
        <w:pStyle w:val="BodyText"/>
        <w:spacing w:before="93"/>
      </w:pPr>
      <w:r>
        <w:rPr/>
        <w:t>二等奖 2 项，三等奖 1 项。</w:t>
      </w:r>
    </w:p>
    <w:p>
      <w:pPr>
        <w:pStyle w:val="BodyText"/>
        <w:spacing w:before="94"/>
        <w:ind w:left="697"/>
      </w:pPr>
      <w:r>
        <w:rPr/>
        <w:t>科研成果获得黑龙江省科技成果二等奖 1 项，佳木斯市科技进步一等奖 5 项，编写《物</w:t>
      </w:r>
    </w:p>
    <w:p>
      <w:pPr>
        <w:pStyle w:val="BodyText"/>
        <w:spacing w:line="312" w:lineRule="auto" w:before="90"/>
        <w:ind w:right="1145"/>
      </w:pPr>
      <w:r>
        <w:rPr>
          <w:spacing w:val="-3"/>
        </w:rPr>
        <w:t>理化学应用及实践》、口腔专业《药理学》教材 </w:t>
      </w:r>
      <w:r>
        <w:rPr/>
        <w:t>2</w:t>
      </w:r>
      <w:r>
        <w:rPr>
          <w:spacing w:val="-12"/>
        </w:rPr>
        <w:t> 套，在国家级学术期刊上发表论文 </w:t>
      </w:r>
      <w:r>
        <w:rPr/>
        <w:t>10</w:t>
      </w:r>
      <w:r>
        <w:rPr>
          <w:spacing w:val="-38"/>
        </w:rPr>
        <w:t> 余</w:t>
      </w:r>
      <w:r>
        <w:rPr/>
        <w:t>篇。</w:t>
      </w:r>
    </w:p>
    <w:p>
      <w:pPr>
        <w:pStyle w:val="BodyText"/>
        <w:spacing w:line="312" w:lineRule="auto" w:before="3"/>
        <w:ind w:right="1130" w:firstLine="480"/>
        <w:jc w:val="both"/>
      </w:pPr>
      <w:r>
        <w:rPr>
          <w:spacing w:val="-10"/>
        </w:rPr>
        <w:t>曾获黑龙江省药学会“千红杯”优秀药师，佳木斯市药品不良反应监测先进个人，医院</w:t>
      </w:r>
      <w:r>
        <w:rPr/>
        <w:t>模范工作者、优秀共产党员。</w:t>
      </w:r>
    </w:p>
    <w:p>
      <w:pPr>
        <w:pStyle w:val="BodyText"/>
        <w:spacing w:line="312" w:lineRule="auto"/>
        <w:ind w:right="1127" w:firstLine="480"/>
        <w:jc w:val="both"/>
      </w:pPr>
      <w:r>
        <w:rPr>
          <w:spacing w:val="-6"/>
        </w:rPr>
        <w:t>兼任中国药学会医院药学专业委员会基层药学学组委员，黑龙江省药学会医院药学专业</w:t>
      </w:r>
      <w:r>
        <w:rPr>
          <w:spacing w:val="-9"/>
        </w:rPr>
        <w:t>委员会副主任委员，黑龙江省医学会临床药学专业委员会委员，黑龙江省医院等级评审专家</w:t>
      </w:r>
      <w:r>
        <w:rPr/>
        <w:t>组成员，佳木斯市药学会副理事长，《中国药房》杂志编委。</w:t>
      </w:r>
    </w:p>
    <w:p>
      <w:pPr>
        <w:pStyle w:val="Heading3"/>
        <w:spacing w:line="366" w:lineRule="exact"/>
        <w:ind w:left="697"/>
        <w:rPr>
          <w:rFonts w:ascii="华文楷体" w:eastAsia="华文楷体" w:hint="eastAsia"/>
        </w:rPr>
      </w:pPr>
      <w:r>
        <w:rPr>
          <w:rFonts w:ascii="华文楷体" w:eastAsia="华文楷体" w:hint="eastAsia"/>
          <w:color w:val="006FC0"/>
        </w:rPr>
        <w:t>以上药师荣获 2018 年中国药学会优秀药师</w:t>
      </w:r>
    </w:p>
    <w:sectPr>
      <w:pgSz w:w="11910" w:h="16850"/>
      <w:pgMar w:header="906" w:footer="607" w:top="1100" w:bottom="800" w:left="10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黑体">
    <w:altName w:val="黑体"/>
    <w:charset w:val="86"/>
    <w:family w:val="modern"/>
    <w:pitch w:val="fixed"/>
  </w:font>
  <w:font w:name="等线">
    <w:altName w:val="等线"/>
    <w:charset w:val="86"/>
    <w:family w:val="auto"/>
    <w:pitch w:val="variable"/>
  </w:font>
  <w:font w:name="Microsoft JhengHei">
    <w:altName w:val="Microsoft JhengHei"/>
    <w:charset w:val="0"/>
    <w:family w:val="swiss"/>
    <w:pitch w:val="variable"/>
  </w:font>
  <w:font w:name="隶书">
    <w:altName w:val="隶书"/>
    <w:charset w:val="86"/>
    <w:family w:val="modern"/>
    <w:pitch w:val="fixed"/>
  </w:font>
  <w:font w:name="华文楷体">
    <w:altName w:val="华文楷体"/>
    <w:charset w:val="86"/>
    <w:family w:val="auto"/>
    <w:pitch w:val="variable"/>
  </w:font>
  <w:font w:name="华文宋体">
    <w:altName w:val="华文宋体"/>
    <w:charset w:val="86"/>
    <w:family w:val="auto"/>
    <w:pitch w:val="variable"/>
  </w:font>
  <w:font w:name="仿宋">
    <w:altName w:val="仿宋"/>
    <w:charset w:val="86"/>
    <w:family w:val="modern"/>
    <w:pitch w:val="fixed"/>
  </w:font>
  <w:font w:name="宋体">
    <w:altName w:val="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6.970001pt;margin-top:789.769958pt;width:8.6pt;height:11pt;mso-position-horizontal-relative:page;mso-position-vertical-relative:page;z-index:-7960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61.863998pt;margin-top:800.690002pt;width:13.15pt;height:11pt;mso-position-horizontal-relative:page;mso-position-vertical-relative:page;z-index:-7955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38</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1.863998pt;margin-top:800.690002pt;width:13.15pt;height:11pt;mso-position-horizontal-relative:page;mso-position-vertical-relative:page;z-index:-7952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79576"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79504"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80" w:hanging="181"/>
        <w:jc w:val="left"/>
      </w:pPr>
      <w:rPr>
        <w:rFonts w:hint="default"/>
        <w:b/>
        <w:bCs/>
        <w:w w:val="100"/>
        <w:lang w:val="zh-cn" w:eastAsia="zh-cn" w:bidi="zh-cn"/>
      </w:rPr>
    </w:lvl>
    <w:lvl w:ilvl="1">
      <w:start w:val="1"/>
      <w:numFmt w:val="decimal"/>
      <w:lvlText w:val="%1.%2"/>
      <w:lvlJc w:val="left"/>
      <w:pPr>
        <w:ind w:left="217" w:hanging="365"/>
        <w:jc w:val="left"/>
      </w:pPr>
      <w:rPr>
        <w:rFonts w:hint="default" w:ascii="Calibri" w:hAnsi="Calibri" w:eastAsia="Calibri" w:cs="Calibri"/>
        <w:w w:val="100"/>
        <w:sz w:val="24"/>
        <w:szCs w:val="24"/>
        <w:lang w:val="zh-cn" w:eastAsia="zh-cn" w:bidi="zh-cn"/>
      </w:rPr>
    </w:lvl>
    <w:lvl w:ilvl="2">
      <w:start w:val="1"/>
      <w:numFmt w:val="decimal"/>
      <w:lvlText w:val="%1.%2.%3"/>
      <w:lvlJc w:val="left"/>
      <w:pPr>
        <w:ind w:left="1227" w:hanging="540"/>
        <w:jc w:val="left"/>
      </w:pPr>
      <w:rPr>
        <w:rFonts w:hint="default"/>
        <w:w w:val="100"/>
        <w:lang w:val="zh-cn" w:eastAsia="zh-cn" w:bidi="zh-cn"/>
      </w:rPr>
    </w:lvl>
    <w:lvl w:ilvl="3">
      <w:start w:val="0"/>
      <w:numFmt w:val="bullet"/>
      <w:lvlText w:val="•"/>
      <w:lvlJc w:val="left"/>
      <w:pPr>
        <w:ind w:left="1947" w:hanging="540"/>
      </w:pPr>
      <w:rPr>
        <w:rFonts w:hint="default"/>
        <w:lang w:val="zh-cn" w:eastAsia="zh-cn" w:bidi="zh-cn"/>
      </w:rPr>
    </w:lvl>
    <w:lvl w:ilvl="4">
      <w:start w:val="0"/>
      <w:numFmt w:val="bullet"/>
      <w:lvlText w:val="•"/>
      <w:lvlJc w:val="left"/>
      <w:pPr>
        <w:ind w:left="2675" w:hanging="540"/>
      </w:pPr>
      <w:rPr>
        <w:rFonts w:hint="default"/>
        <w:lang w:val="zh-cn" w:eastAsia="zh-cn" w:bidi="zh-cn"/>
      </w:rPr>
    </w:lvl>
    <w:lvl w:ilvl="5">
      <w:start w:val="0"/>
      <w:numFmt w:val="bullet"/>
      <w:lvlText w:val="•"/>
      <w:lvlJc w:val="left"/>
      <w:pPr>
        <w:ind w:left="3403" w:hanging="540"/>
      </w:pPr>
      <w:rPr>
        <w:rFonts w:hint="default"/>
        <w:lang w:val="zh-cn" w:eastAsia="zh-cn" w:bidi="zh-cn"/>
      </w:rPr>
    </w:lvl>
    <w:lvl w:ilvl="6">
      <w:start w:val="0"/>
      <w:numFmt w:val="bullet"/>
      <w:lvlText w:val="•"/>
      <w:lvlJc w:val="left"/>
      <w:pPr>
        <w:ind w:left="4130" w:hanging="540"/>
      </w:pPr>
      <w:rPr>
        <w:rFonts w:hint="default"/>
        <w:lang w:val="zh-cn" w:eastAsia="zh-cn" w:bidi="zh-cn"/>
      </w:rPr>
    </w:lvl>
    <w:lvl w:ilvl="7">
      <w:start w:val="0"/>
      <w:numFmt w:val="bullet"/>
      <w:lvlText w:val="•"/>
      <w:lvlJc w:val="left"/>
      <w:pPr>
        <w:ind w:left="4858" w:hanging="540"/>
      </w:pPr>
      <w:rPr>
        <w:rFonts w:hint="default"/>
        <w:lang w:val="zh-cn" w:eastAsia="zh-cn" w:bidi="zh-cn"/>
      </w:rPr>
    </w:lvl>
    <w:lvl w:ilvl="8">
      <w:start w:val="0"/>
      <w:numFmt w:val="bullet"/>
      <w:lvlText w:val="•"/>
      <w:lvlJc w:val="left"/>
      <w:pPr>
        <w:ind w:left="5586" w:hanging="540"/>
      </w:pPr>
      <w:rPr>
        <w:rFonts w:hint="default"/>
        <w:lang w:val="zh-cn" w:eastAsia="zh-cn" w:bidi="zh-cn"/>
      </w:rPr>
    </w:lvl>
  </w:abstractNum>
  <w:abstractNum w:abstractNumId="1">
    <w:multiLevelType w:val="hybridMultilevel"/>
    <w:lvl w:ilvl="0">
      <w:start w:val="1"/>
      <w:numFmt w:val="decimal"/>
      <w:lvlText w:val="%1."/>
      <w:lvlJc w:val="left"/>
      <w:pPr>
        <w:ind w:left="86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858" w:hanging="184"/>
      </w:pPr>
      <w:rPr>
        <w:rFonts w:hint="default"/>
        <w:lang w:val="zh-cn" w:eastAsia="zh-cn" w:bidi="zh-cn"/>
      </w:rPr>
    </w:lvl>
    <w:lvl w:ilvl="2">
      <w:start w:val="0"/>
      <w:numFmt w:val="bullet"/>
      <w:lvlText w:val="•"/>
      <w:lvlJc w:val="left"/>
      <w:pPr>
        <w:ind w:left="2857" w:hanging="184"/>
      </w:pPr>
      <w:rPr>
        <w:rFonts w:hint="default"/>
        <w:lang w:val="zh-cn" w:eastAsia="zh-cn" w:bidi="zh-cn"/>
      </w:rPr>
    </w:lvl>
    <w:lvl w:ilvl="3">
      <w:start w:val="0"/>
      <w:numFmt w:val="bullet"/>
      <w:lvlText w:val="•"/>
      <w:lvlJc w:val="left"/>
      <w:pPr>
        <w:ind w:left="3855" w:hanging="184"/>
      </w:pPr>
      <w:rPr>
        <w:rFonts w:hint="default"/>
        <w:lang w:val="zh-cn" w:eastAsia="zh-cn" w:bidi="zh-cn"/>
      </w:rPr>
    </w:lvl>
    <w:lvl w:ilvl="4">
      <w:start w:val="0"/>
      <w:numFmt w:val="bullet"/>
      <w:lvlText w:val="•"/>
      <w:lvlJc w:val="left"/>
      <w:pPr>
        <w:ind w:left="4854" w:hanging="184"/>
      </w:pPr>
      <w:rPr>
        <w:rFonts w:hint="default"/>
        <w:lang w:val="zh-cn" w:eastAsia="zh-cn" w:bidi="zh-cn"/>
      </w:rPr>
    </w:lvl>
    <w:lvl w:ilvl="5">
      <w:start w:val="0"/>
      <w:numFmt w:val="bullet"/>
      <w:lvlText w:val="•"/>
      <w:lvlJc w:val="left"/>
      <w:pPr>
        <w:ind w:left="5853" w:hanging="184"/>
      </w:pPr>
      <w:rPr>
        <w:rFonts w:hint="default"/>
        <w:lang w:val="zh-cn" w:eastAsia="zh-cn" w:bidi="zh-cn"/>
      </w:rPr>
    </w:lvl>
    <w:lvl w:ilvl="6">
      <w:start w:val="0"/>
      <w:numFmt w:val="bullet"/>
      <w:lvlText w:val="•"/>
      <w:lvlJc w:val="left"/>
      <w:pPr>
        <w:ind w:left="6851" w:hanging="184"/>
      </w:pPr>
      <w:rPr>
        <w:rFonts w:hint="default"/>
        <w:lang w:val="zh-cn" w:eastAsia="zh-cn" w:bidi="zh-cn"/>
      </w:rPr>
    </w:lvl>
    <w:lvl w:ilvl="7">
      <w:start w:val="0"/>
      <w:numFmt w:val="bullet"/>
      <w:lvlText w:val="•"/>
      <w:lvlJc w:val="left"/>
      <w:pPr>
        <w:ind w:left="7850" w:hanging="184"/>
      </w:pPr>
      <w:rPr>
        <w:rFonts w:hint="default"/>
        <w:lang w:val="zh-cn" w:eastAsia="zh-cn" w:bidi="zh-cn"/>
      </w:rPr>
    </w:lvl>
    <w:lvl w:ilvl="8">
      <w:start w:val="0"/>
      <w:numFmt w:val="bullet"/>
      <w:lvlText w:val="•"/>
      <w:lvlJc w:val="left"/>
      <w:pPr>
        <w:ind w:left="8849" w:hanging="184"/>
      </w:pPr>
      <w:rPr>
        <w:rFonts w:hint="default"/>
        <w:lang w:val="zh-cn" w:eastAsia="zh-cn" w:bidi="zh-cn"/>
      </w:rPr>
    </w:lvl>
  </w:abstractNum>
  <w:abstractNum w:abstractNumId="0">
    <w:multiLevelType w:val="hybridMultilevel"/>
    <w:lvl w:ilvl="0">
      <w:start w:val="1"/>
      <w:numFmt w:val="decimal"/>
      <w:lvlText w:val="%1."/>
      <w:lvlJc w:val="left"/>
      <w:pPr>
        <w:ind w:left="217"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282" w:hanging="181"/>
      </w:pPr>
      <w:rPr>
        <w:rFonts w:hint="default"/>
        <w:lang w:val="zh-cn" w:eastAsia="zh-cn" w:bidi="zh-cn"/>
      </w:rPr>
    </w:lvl>
    <w:lvl w:ilvl="2">
      <w:start w:val="0"/>
      <w:numFmt w:val="bullet"/>
      <w:lvlText w:val="•"/>
      <w:lvlJc w:val="left"/>
      <w:pPr>
        <w:ind w:left="2345" w:hanging="181"/>
      </w:pPr>
      <w:rPr>
        <w:rFonts w:hint="default"/>
        <w:lang w:val="zh-cn" w:eastAsia="zh-cn" w:bidi="zh-cn"/>
      </w:rPr>
    </w:lvl>
    <w:lvl w:ilvl="3">
      <w:start w:val="0"/>
      <w:numFmt w:val="bullet"/>
      <w:lvlText w:val="•"/>
      <w:lvlJc w:val="left"/>
      <w:pPr>
        <w:ind w:left="3407" w:hanging="181"/>
      </w:pPr>
      <w:rPr>
        <w:rFonts w:hint="default"/>
        <w:lang w:val="zh-cn" w:eastAsia="zh-cn" w:bidi="zh-cn"/>
      </w:rPr>
    </w:lvl>
    <w:lvl w:ilvl="4">
      <w:start w:val="0"/>
      <w:numFmt w:val="bullet"/>
      <w:lvlText w:val="•"/>
      <w:lvlJc w:val="left"/>
      <w:pPr>
        <w:ind w:left="4470" w:hanging="181"/>
      </w:pPr>
      <w:rPr>
        <w:rFonts w:hint="default"/>
        <w:lang w:val="zh-cn" w:eastAsia="zh-cn" w:bidi="zh-cn"/>
      </w:rPr>
    </w:lvl>
    <w:lvl w:ilvl="5">
      <w:start w:val="0"/>
      <w:numFmt w:val="bullet"/>
      <w:lvlText w:val="•"/>
      <w:lvlJc w:val="left"/>
      <w:pPr>
        <w:ind w:left="5533" w:hanging="181"/>
      </w:pPr>
      <w:rPr>
        <w:rFonts w:hint="default"/>
        <w:lang w:val="zh-cn" w:eastAsia="zh-cn" w:bidi="zh-cn"/>
      </w:rPr>
    </w:lvl>
    <w:lvl w:ilvl="6">
      <w:start w:val="0"/>
      <w:numFmt w:val="bullet"/>
      <w:lvlText w:val="•"/>
      <w:lvlJc w:val="left"/>
      <w:pPr>
        <w:ind w:left="6595" w:hanging="181"/>
      </w:pPr>
      <w:rPr>
        <w:rFonts w:hint="default"/>
        <w:lang w:val="zh-cn" w:eastAsia="zh-cn" w:bidi="zh-cn"/>
      </w:rPr>
    </w:lvl>
    <w:lvl w:ilvl="7">
      <w:start w:val="0"/>
      <w:numFmt w:val="bullet"/>
      <w:lvlText w:val="•"/>
      <w:lvlJc w:val="left"/>
      <w:pPr>
        <w:ind w:left="7658" w:hanging="181"/>
      </w:pPr>
      <w:rPr>
        <w:rFonts w:hint="default"/>
        <w:lang w:val="zh-cn" w:eastAsia="zh-cn" w:bidi="zh-cn"/>
      </w:rPr>
    </w:lvl>
    <w:lvl w:ilvl="8">
      <w:start w:val="0"/>
      <w:numFmt w:val="bullet"/>
      <w:lvlText w:val="•"/>
      <w:lvlJc w:val="left"/>
      <w:pPr>
        <w:ind w:left="8721" w:hanging="181"/>
      </w:pPr>
      <w:rPr>
        <w:rFonts w:hint="default"/>
        <w:lang w:val="zh-cn" w:eastAsia="zh-cn" w:bidi="zh-cn"/>
      </w:rPr>
    </w:lvl>
  </w:abstractNum>
  <w:abstractNum w:abstractNumId="11">
    <w:multiLevelType w:val="hybridMultilevel"/>
    <w:lvl w:ilvl="0">
      <w:start w:val="1"/>
      <w:numFmt w:val="decimal"/>
      <w:lvlText w:val="%1."/>
      <w:lvlJc w:val="left"/>
      <w:pPr>
        <w:ind w:left="878" w:hanging="18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876" w:hanging="181"/>
      </w:pPr>
      <w:rPr>
        <w:rFonts w:hint="default"/>
        <w:lang w:val="zh-cn" w:eastAsia="zh-cn" w:bidi="zh-cn"/>
      </w:rPr>
    </w:lvl>
    <w:lvl w:ilvl="2">
      <w:start w:val="0"/>
      <w:numFmt w:val="bullet"/>
      <w:lvlText w:val="•"/>
      <w:lvlJc w:val="left"/>
      <w:pPr>
        <w:ind w:left="2873" w:hanging="181"/>
      </w:pPr>
      <w:rPr>
        <w:rFonts w:hint="default"/>
        <w:lang w:val="zh-cn" w:eastAsia="zh-cn" w:bidi="zh-cn"/>
      </w:rPr>
    </w:lvl>
    <w:lvl w:ilvl="3">
      <w:start w:val="0"/>
      <w:numFmt w:val="bullet"/>
      <w:lvlText w:val="•"/>
      <w:lvlJc w:val="left"/>
      <w:pPr>
        <w:ind w:left="3869" w:hanging="181"/>
      </w:pPr>
      <w:rPr>
        <w:rFonts w:hint="default"/>
        <w:lang w:val="zh-cn" w:eastAsia="zh-cn" w:bidi="zh-cn"/>
      </w:rPr>
    </w:lvl>
    <w:lvl w:ilvl="4">
      <w:start w:val="0"/>
      <w:numFmt w:val="bullet"/>
      <w:lvlText w:val="•"/>
      <w:lvlJc w:val="left"/>
      <w:pPr>
        <w:ind w:left="4866" w:hanging="181"/>
      </w:pPr>
      <w:rPr>
        <w:rFonts w:hint="default"/>
        <w:lang w:val="zh-cn" w:eastAsia="zh-cn" w:bidi="zh-cn"/>
      </w:rPr>
    </w:lvl>
    <w:lvl w:ilvl="5">
      <w:start w:val="0"/>
      <w:numFmt w:val="bullet"/>
      <w:lvlText w:val="•"/>
      <w:lvlJc w:val="left"/>
      <w:pPr>
        <w:ind w:left="5863" w:hanging="181"/>
      </w:pPr>
      <w:rPr>
        <w:rFonts w:hint="default"/>
        <w:lang w:val="zh-cn" w:eastAsia="zh-cn" w:bidi="zh-cn"/>
      </w:rPr>
    </w:lvl>
    <w:lvl w:ilvl="6">
      <w:start w:val="0"/>
      <w:numFmt w:val="bullet"/>
      <w:lvlText w:val="•"/>
      <w:lvlJc w:val="left"/>
      <w:pPr>
        <w:ind w:left="6859" w:hanging="181"/>
      </w:pPr>
      <w:rPr>
        <w:rFonts w:hint="default"/>
        <w:lang w:val="zh-cn" w:eastAsia="zh-cn" w:bidi="zh-cn"/>
      </w:rPr>
    </w:lvl>
    <w:lvl w:ilvl="7">
      <w:start w:val="0"/>
      <w:numFmt w:val="bullet"/>
      <w:lvlText w:val="•"/>
      <w:lvlJc w:val="left"/>
      <w:pPr>
        <w:ind w:left="7856" w:hanging="181"/>
      </w:pPr>
      <w:rPr>
        <w:rFonts w:hint="default"/>
        <w:lang w:val="zh-cn" w:eastAsia="zh-cn" w:bidi="zh-cn"/>
      </w:rPr>
    </w:lvl>
    <w:lvl w:ilvl="8">
      <w:start w:val="0"/>
      <w:numFmt w:val="bullet"/>
      <w:lvlText w:val="•"/>
      <w:lvlJc w:val="left"/>
      <w:pPr>
        <w:ind w:left="8853" w:hanging="181"/>
      </w:pPr>
      <w:rPr>
        <w:rFonts w:hint="default"/>
        <w:lang w:val="zh-cn" w:eastAsia="zh-cn" w:bidi="zh-cn"/>
      </w:rPr>
    </w:lvl>
  </w:abstractNum>
  <w:abstractNum w:abstractNumId="10">
    <w:multiLevelType w:val="hybridMultilevel"/>
    <w:lvl w:ilvl="0">
      <w:start w:val="1"/>
      <w:numFmt w:val="decimal"/>
      <w:lvlText w:val="%1."/>
      <w:lvlJc w:val="left"/>
      <w:pPr>
        <w:ind w:left="987" w:hanging="303"/>
        <w:jc w:val="left"/>
      </w:pPr>
      <w:rPr>
        <w:rFonts w:hint="default" w:ascii="Calibri" w:hAnsi="Calibri" w:eastAsia="Calibri" w:cs="Calibri"/>
        <w:w w:val="100"/>
        <w:sz w:val="24"/>
        <w:szCs w:val="24"/>
        <w:lang w:val="zh-cn" w:eastAsia="zh-cn" w:bidi="zh-cn"/>
      </w:rPr>
    </w:lvl>
    <w:lvl w:ilvl="1">
      <w:start w:val="0"/>
      <w:numFmt w:val="bullet"/>
      <w:lvlText w:val="•"/>
      <w:lvlJc w:val="left"/>
      <w:pPr>
        <w:ind w:left="1966" w:hanging="303"/>
      </w:pPr>
      <w:rPr>
        <w:rFonts w:hint="default"/>
        <w:lang w:val="zh-cn" w:eastAsia="zh-cn" w:bidi="zh-cn"/>
      </w:rPr>
    </w:lvl>
    <w:lvl w:ilvl="2">
      <w:start w:val="0"/>
      <w:numFmt w:val="bullet"/>
      <w:lvlText w:val="•"/>
      <w:lvlJc w:val="left"/>
      <w:pPr>
        <w:ind w:left="2953" w:hanging="303"/>
      </w:pPr>
      <w:rPr>
        <w:rFonts w:hint="default"/>
        <w:lang w:val="zh-cn" w:eastAsia="zh-cn" w:bidi="zh-cn"/>
      </w:rPr>
    </w:lvl>
    <w:lvl w:ilvl="3">
      <w:start w:val="0"/>
      <w:numFmt w:val="bullet"/>
      <w:lvlText w:val="•"/>
      <w:lvlJc w:val="left"/>
      <w:pPr>
        <w:ind w:left="3939" w:hanging="303"/>
      </w:pPr>
      <w:rPr>
        <w:rFonts w:hint="default"/>
        <w:lang w:val="zh-cn" w:eastAsia="zh-cn" w:bidi="zh-cn"/>
      </w:rPr>
    </w:lvl>
    <w:lvl w:ilvl="4">
      <w:start w:val="0"/>
      <w:numFmt w:val="bullet"/>
      <w:lvlText w:val="•"/>
      <w:lvlJc w:val="left"/>
      <w:pPr>
        <w:ind w:left="4926" w:hanging="303"/>
      </w:pPr>
      <w:rPr>
        <w:rFonts w:hint="default"/>
        <w:lang w:val="zh-cn" w:eastAsia="zh-cn" w:bidi="zh-cn"/>
      </w:rPr>
    </w:lvl>
    <w:lvl w:ilvl="5">
      <w:start w:val="0"/>
      <w:numFmt w:val="bullet"/>
      <w:lvlText w:val="•"/>
      <w:lvlJc w:val="left"/>
      <w:pPr>
        <w:ind w:left="5913" w:hanging="303"/>
      </w:pPr>
      <w:rPr>
        <w:rFonts w:hint="default"/>
        <w:lang w:val="zh-cn" w:eastAsia="zh-cn" w:bidi="zh-cn"/>
      </w:rPr>
    </w:lvl>
    <w:lvl w:ilvl="6">
      <w:start w:val="0"/>
      <w:numFmt w:val="bullet"/>
      <w:lvlText w:val="•"/>
      <w:lvlJc w:val="left"/>
      <w:pPr>
        <w:ind w:left="6899" w:hanging="303"/>
      </w:pPr>
      <w:rPr>
        <w:rFonts w:hint="default"/>
        <w:lang w:val="zh-cn" w:eastAsia="zh-cn" w:bidi="zh-cn"/>
      </w:rPr>
    </w:lvl>
    <w:lvl w:ilvl="7">
      <w:start w:val="0"/>
      <w:numFmt w:val="bullet"/>
      <w:lvlText w:val="•"/>
      <w:lvlJc w:val="left"/>
      <w:pPr>
        <w:ind w:left="7886" w:hanging="303"/>
      </w:pPr>
      <w:rPr>
        <w:rFonts w:hint="default"/>
        <w:lang w:val="zh-cn" w:eastAsia="zh-cn" w:bidi="zh-cn"/>
      </w:rPr>
    </w:lvl>
    <w:lvl w:ilvl="8">
      <w:start w:val="0"/>
      <w:numFmt w:val="bullet"/>
      <w:lvlText w:val="•"/>
      <w:lvlJc w:val="left"/>
      <w:pPr>
        <w:ind w:left="8873" w:hanging="303"/>
      </w:pPr>
      <w:rPr>
        <w:rFonts w:hint="default"/>
        <w:lang w:val="zh-cn" w:eastAsia="zh-cn" w:bidi="zh-cn"/>
      </w:rPr>
    </w:lvl>
  </w:abstractNum>
  <w:abstractNum w:abstractNumId="9">
    <w:multiLevelType w:val="hybridMultilevel"/>
    <w:lvl w:ilvl="0">
      <w:start w:val="1"/>
      <w:numFmt w:val="decimal"/>
      <w:lvlText w:val="%1."/>
      <w:lvlJc w:val="left"/>
      <w:pPr>
        <w:ind w:left="869" w:hanging="184"/>
        <w:jc w:val="left"/>
      </w:pPr>
      <w:rPr>
        <w:rFonts w:hint="default" w:ascii="Calibri" w:hAnsi="Calibri" w:eastAsia="Calibri" w:cs="Calibri"/>
        <w:spacing w:val="-1"/>
        <w:w w:val="100"/>
        <w:sz w:val="22"/>
        <w:szCs w:val="22"/>
        <w:lang w:val="zh-cn" w:eastAsia="zh-cn" w:bidi="zh-cn"/>
      </w:rPr>
    </w:lvl>
    <w:lvl w:ilvl="1">
      <w:start w:val="0"/>
      <w:numFmt w:val="bullet"/>
      <w:lvlText w:val="•"/>
      <w:lvlJc w:val="left"/>
      <w:pPr>
        <w:ind w:left="1858" w:hanging="184"/>
      </w:pPr>
      <w:rPr>
        <w:rFonts w:hint="default"/>
        <w:lang w:val="zh-cn" w:eastAsia="zh-cn" w:bidi="zh-cn"/>
      </w:rPr>
    </w:lvl>
    <w:lvl w:ilvl="2">
      <w:start w:val="0"/>
      <w:numFmt w:val="bullet"/>
      <w:lvlText w:val="•"/>
      <w:lvlJc w:val="left"/>
      <w:pPr>
        <w:ind w:left="2857" w:hanging="184"/>
      </w:pPr>
      <w:rPr>
        <w:rFonts w:hint="default"/>
        <w:lang w:val="zh-cn" w:eastAsia="zh-cn" w:bidi="zh-cn"/>
      </w:rPr>
    </w:lvl>
    <w:lvl w:ilvl="3">
      <w:start w:val="0"/>
      <w:numFmt w:val="bullet"/>
      <w:lvlText w:val="•"/>
      <w:lvlJc w:val="left"/>
      <w:pPr>
        <w:ind w:left="3855" w:hanging="184"/>
      </w:pPr>
      <w:rPr>
        <w:rFonts w:hint="default"/>
        <w:lang w:val="zh-cn" w:eastAsia="zh-cn" w:bidi="zh-cn"/>
      </w:rPr>
    </w:lvl>
    <w:lvl w:ilvl="4">
      <w:start w:val="0"/>
      <w:numFmt w:val="bullet"/>
      <w:lvlText w:val="•"/>
      <w:lvlJc w:val="left"/>
      <w:pPr>
        <w:ind w:left="4854" w:hanging="184"/>
      </w:pPr>
      <w:rPr>
        <w:rFonts w:hint="default"/>
        <w:lang w:val="zh-cn" w:eastAsia="zh-cn" w:bidi="zh-cn"/>
      </w:rPr>
    </w:lvl>
    <w:lvl w:ilvl="5">
      <w:start w:val="0"/>
      <w:numFmt w:val="bullet"/>
      <w:lvlText w:val="•"/>
      <w:lvlJc w:val="left"/>
      <w:pPr>
        <w:ind w:left="5853" w:hanging="184"/>
      </w:pPr>
      <w:rPr>
        <w:rFonts w:hint="default"/>
        <w:lang w:val="zh-cn" w:eastAsia="zh-cn" w:bidi="zh-cn"/>
      </w:rPr>
    </w:lvl>
    <w:lvl w:ilvl="6">
      <w:start w:val="0"/>
      <w:numFmt w:val="bullet"/>
      <w:lvlText w:val="•"/>
      <w:lvlJc w:val="left"/>
      <w:pPr>
        <w:ind w:left="6851" w:hanging="184"/>
      </w:pPr>
      <w:rPr>
        <w:rFonts w:hint="default"/>
        <w:lang w:val="zh-cn" w:eastAsia="zh-cn" w:bidi="zh-cn"/>
      </w:rPr>
    </w:lvl>
    <w:lvl w:ilvl="7">
      <w:start w:val="0"/>
      <w:numFmt w:val="bullet"/>
      <w:lvlText w:val="•"/>
      <w:lvlJc w:val="left"/>
      <w:pPr>
        <w:ind w:left="7850" w:hanging="184"/>
      </w:pPr>
      <w:rPr>
        <w:rFonts w:hint="default"/>
        <w:lang w:val="zh-cn" w:eastAsia="zh-cn" w:bidi="zh-cn"/>
      </w:rPr>
    </w:lvl>
    <w:lvl w:ilvl="8">
      <w:start w:val="0"/>
      <w:numFmt w:val="bullet"/>
      <w:lvlText w:val="•"/>
      <w:lvlJc w:val="left"/>
      <w:pPr>
        <w:ind w:left="8849" w:hanging="184"/>
      </w:pPr>
      <w:rPr>
        <w:rFonts w:hint="default"/>
        <w:lang w:val="zh-cn" w:eastAsia="zh-cn" w:bidi="zh-cn"/>
      </w:rPr>
    </w:lvl>
  </w:abstractNum>
  <w:abstractNum w:abstractNumId="8">
    <w:multiLevelType w:val="hybridMultilevel"/>
    <w:lvl w:ilvl="0">
      <w:start w:val="1"/>
      <w:numFmt w:val="decimal"/>
      <w:lvlText w:val="%1."/>
      <w:lvlJc w:val="left"/>
      <w:pPr>
        <w:ind w:left="869" w:hanging="184"/>
        <w:jc w:val="right"/>
      </w:pPr>
      <w:rPr>
        <w:rFonts w:hint="default" w:ascii="Calibri" w:hAnsi="Calibri" w:eastAsia="Calibri" w:cs="Calibri"/>
        <w:spacing w:val="-1"/>
        <w:w w:val="100"/>
        <w:sz w:val="22"/>
        <w:szCs w:val="22"/>
        <w:lang w:val="zh-cn" w:eastAsia="zh-cn" w:bidi="zh-cn"/>
      </w:rPr>
    </w:lvl>
    <w:lvl w:ilvl="1">
      <w:start w:val="0"/>
      <w:numFmt w:val="bullet"/>
      <w:lvlText w:val="•"/>
      <w:lvlJc w:val="left"/>
      <w:pPr>
        <w:ind w:left="1858" w:hanging="184"/>
      </w:pPr>
      <w:rPr>
        <w:rFonts w:hint="default"/>
        <w:lang w:val="zh-cn" w:eastAsia="zh-cn" w:bidi="zh-cn"/>
      </w:rPr>
    </w:lvl>
    <w:lvl w:ilvl="2">
      <w:start w:val="0"/>
      <w:numFmt w:val="bullet"/>
      <w:lvlText w:val="•"/>
      <w:lvlJc w:val="left"/>
      <w:pPr>
        <w:ind w:left="2857" w:hanging="184"/>
      </w:pPr>
      <w:rPr>
        <w:rFonts w:hint="default"/>
        <w:lang w:val="zh-cn" w:eastAsia="zh-cn" w:bidi="zh-cn"/>
      </w:rPr>
    </w:lvl>
    <w:lvl w:ilvl="3">
      <w:start w:val="0"/>
      <w:numFmt w:val="bullet"/>
      <w:lvlText w:val="•"/>
      <w:lvlJc w:val="left"/>
      <w:pPr>
        <w:ind w:left="3855" w:hanging="184"/>
      </w:pPr>
      <w:rPr>
        <w:rFonts w:hint="default"/>
        <w:lang w:val="zh-cn" w:eastAsia="zh-cn" w:bidi="zh-cn"/>
      </w:rPr>
    </w:lvl>
    <w:lvl w:ilvl="4">
      <w:start w:val="0"/>
      <w:numFmt w:val="bullet"/>
      <w:lvlText w:val="•"/>
      <w:lvlJc w:val="left"/>
      <w:pPr>
        <w:ind w:left="4854" w:hanging="184"/>
      </w:pPr>
      <w:rPr>
        <w:rFonts w:hint="default"/>
        <w:lang w:val="zh-cn" w:eastAsia="zh-cn" w:bidi="zh-cn"/>
      </w:rPr>
    </w:lvl>
    <w:lvl w:ilvl="5">
      <w:start w:val="0"/>
      <w:numFmt w:val="bullet"/>
      <w:lvlText w:val="•"/>
      <w:lvlJc w:val="left"/>
      <w:pPr>
        <w:ind w:left="5853" w:hanging="184"/>
      </w:pPr>
      <w:rPr>
        <w:rFonts w:hint="default"/>
        <w:lang w:val="zh-cn" w:eastAsia="zh-cn" w:bidi="zh-cn"/>
      </w:rPr>
    </w:lvl>
    <w:lvl w:ilvl="6">
      <w:start w:val="0"/>
      <w:numFmt w:val="bullet"/>
      <w:lvlText w:val="•"/>
      <w:lvlJc w:val="left"/>
      <w:pPr>
        <w:ind w:left="6851" w:hanging="184"/>
      </w:pPr>
      <w:rPr>
        <w:rFonts w:hint="default"/>
        <w:lang w:val="zh-cn" w:eastAsia="zh-cn" w:bidi="zh-cn"/>
      </w:rPr>
    </w:lvl>
    <w:lvl w:ilvl="7">
      <w:start w:val="0"/>
      <w:numFmt w:val="bullet"/>
      <w:lvlText w:val="•"/>
      <w:lvlJc w:val="left"/>
      <w:pPr>
        <w:ind w:left="7850" w:hanging="184"/>
      </w:pPr>
      <w:rPr>
        <w:rFonts w:hint="default"/>
        <w:lang w:val="zh-cn" w:eastAsia="zh-cn" w:bidi="zh-cn"/>
      </w:rPr>
    </w:lvl>
    <w:lvl w:ilvl="8">
      <w:start w:val="0"/>
      <w:numFmt w:val="bullet"/>
      <w:lvlText w:val="•"/>
      <w:lvlJc w:val="left"/>
      <w:pPr>
        <w:ind w:left="8849" w:hanging="184"/>
      </w:pPr>
      <w:rPr>
        <w:rFonts w:hint="default"/>
        <w:lang w:val="zh-cn" w:eastAsia="zh-cn" w:bidi="zh-cn"/>
      </w:rPr>
    </w:lvl>
  </w:abstractNum>
  <w:abstractNum w:abstractNumId="7">
    <w:multiLevelType w:val="hybridMultilevel"/>
    <w:lvl w:ilvl="0">
      <w:start w:val="3"/>
      <w:numFmt w:val="decimal"/>
      <w:lvlText w:val="%1"/>
      <w:lvlJc w:val="left"/>
      <w:pPr>
        <w:ind w:left="217" w:hanging="365"/>
        <w:jc w:val="left"/>
      </w:pPr>
      <w:rPr>
        <w:rFonts w:hint="default"/>
        <w:lang w:val="zh-cn" w:eastAsia="zh-cn" w:bidi="zh-cn"/>
      </w:rPr>
    </w:lvl>
    <w:lvl w:ilvl="1">
      <w:start w:val="2"/>
      <w:numFmt w:val="decimal"/>
      <w:lvlText w:val="%1.%2"/>
      <w:lvlJc w:val="left"/>
      <w:pPr>
        <w:ind w:left="217" w:hanging="365"/>
        <w:jc w:val="left"/>
      </w:pPr>
      <w:rPr>
        <w:rFonts w:hint="default" w:ascii="Calibri" w:hAnsi="Calibri" w:eastAsia="Calibri" w:cs="Calibri"/>
        <w:w w:val="100"/>
        <w:sz w:val="24"/>
        <w:szCs w:val="24"/>
        <w:lang w:val="zh-cn" w:eastAsia="zh-cn" w:bidi="zh-cn"/>
      </w:rPr>
    </w:lvl>
    <w:lvl w:ilvl="2">
      <w:start w:val="1"/>
      <w:numFmt w:val="decimal"/>
      <w:lvlText w:val="%1.%2.%3"/>
      <w:lvlJc w:val="left"/>
      <w:pPr>
        <w:ind w:left="217" w:hanging="548"/>
        <w:jc w:val="left"/>
      </w:pPr>
      <w:rPr>
        <w:rFonts w:hint="default" w:ascii="Calibri" w:hAnsi="Calibri" w:eastAsia="Calibri" w:cs="Calibri"/>
        <w:spacing w:val="-1"/>
        <w:w w:val="100"/>
        <w:sz w:val="24"/>
        <w:szCs w:val="24"/>
        <w:lang w:val="zh-cn" w:eastAsia="zh-cn" w:bidi="zh-cn"/>
      </w:rPr>
    </w:lvl>
    <w:lvl w:ilvl="3">
      <w:start w:val="0"/>
      <w:numFmt w:val="bullet"/>
      <w:lvlText w:val="•"/>
      <w:lvlJc w:val="left"/>
      <w:pPr>
        <w:ind w:left="3407" w:hanging="548"/>
      </w:pPr>
      <w:rPr>
        <w:rFonts w:hint="default"/>
        <w:lang w:val="zh-cn" w:eastAsia="zh-cn" w:bidi="zh-cn"/>
      </w:rPr>
    </w:lvl>
    <w:lvl w:ilvl="4">
      <w:start w:val="0"/>
      <w:numFmt w:val="bullet"/>
      <w:lvlText w:val="•"/>
      <w:lvlJc w:val="left"/>
      <w:pPr>
        <w:ind w:left="4470" w:hanging="548"/>
      </w:pPr>
      <w:rPr>
        <w:rFonts w:hint="default"/>
        <w:lang w:val="zh-cn" w:eastAsia="zh-cn" w:bidi="zh-cn"/>
      </w:rPr>
    </w:lvl>
    <w:lvl w:ilvl="5">
      <w:start w:val="0"/>
      <w:numFmt w:val="bullet"/>
      <w:lvlText w:val="•"/>
      <w:lvlJc w:val="left"/>
      <w:pPr>
        <w:ind w:left="5533" w:hanging="548"/>
      </w:pPr>
      <w:rPr>
        <w:rFonts w:hint="default"/>
        <w:lang w:val="zh-cn" w:eastAsia="zh-cn" w:bidi="zh-cn"/>
      </w:rPr>
    </w:lvl>
    <w:lvl w:ilvl="6">
      <w:start w:val="0"/>
      <w:numFmt w:val="bullet"/>
      <w:lvlText w:val="•"/>
      <w:lvlJc w:val="left"/>
      <w:pPr>
        <w:ind w:left="6595" w:hanging="548"/>
      </w:pPr>
      <w:rPr>
        <w:rFonts w:hint="default"/>
        <w:lang w:val="zh-cn" w:eastAsia="zh-cn" w:bidi="zh-cn"/>
      </w:rPr>
    </w:lvl>
    <w:lvl w:ilvl="7">
      <w:start w:val="0"/>
      <w:numFmt w:val="bullet"/>
      <w:lvlText w:val="•"/>
      <w:lvlJc w:val="left"/>
      <w:pPr>
        <w:ind w:left="7658" w:hanging="548"/>
      </w:pPr>
      <w:rPr>
        <w:rFonts w:hint="default"/>
        <w:lang w:val="zh-cn" w:eastAsia="zh-cn" w:bidi="zh-cn"/>
      </w:rPr>
    </w:lvl>
    <w:lvl w:ilvl="8">
      <w:start w:val="0"/>
      <w:numFmt w:val="bullet"/>
      <w:lvlText w:val="•"/>
      <w:lvlJc w:val="left"/>
      <w:pPr>
        <w:ind w:left="8721" w:hanging="548"/>
      </w:pPr>
      <w:rPr>
        <w:rFonts w:hint="default"/>
        <w:lang w:val="zh-cn" w:eastAsia="zh-cn" w:bidi="zh-cn"/>
      </w:rPr>
    </w:lvl>
  </w:abstractNum>
  <w:abstractNum w:abstractNumId="6">
    <w:multiLevelType w:val="hybridMultilevel"/>
    <w:lvl w:ilvl="0">
      <w:start w:val="1"/>
      <w:numFmt w:val="decimal"/>
      <w:lvlText w:val="（%1）"/>
      <w:lvlJc w:val="left"/>
      <w:pPr>
        <w:ind w:left="217" w:hanging="601"/>
        <w:jc w:val="left"/>
      </w:pPr>
      <w:rPr>
        <w:rFonts w:hint="default" w:ascii="宋体" w:hAnsi="宋体" w:eastAsia="宋体" w:cs="宋体"/>
        <w:spacing w:val="-8"/>
        <w:w w:val="100"/>
        <w:sz w:val="22"/>
        <w:szCs w:val="22"/>
        <w:lang w:val="zh-cn" w:eastAsia="zh-cn" w:bidi="zh-cn"/>
      </w:rPr>
    </w:lvl>
    <w:lvl w:ilvl="1">
      <w:start w:val="0"/>
      <w:numFmt w:val="bullet"/>
      <w:lvlText w:val="•"/>
      <w:lvlJc w:val="left"/>
      <w:pPr>
        <w:ind w:left="902" w:hanging="601"/>
      </w:pPr>
      <w:rPr>
        <w:rFonts w:hint="default"/>
        <w:lang w:val="zh-cn" w:eastAsia="zh-cn" w:bidi="zh-cn"/>
      </w:rPr>
    </w:lvl>
    <w:lvl w:ilvl="2">
      <w:start w:val="0"/>
      <w:numFmt w:val="bullet"/>
      <w:lvlText w:val="•"/>
      <w:lvlJc w:val="left"/>
      <w:pPr>
        <w:ind w:left="1584" w:hanging="601"/>
      </w:pPr>
      <w:rPr>
        <w:rFonts w:hint="default"/>
        <w:lang w:val="zh-cn" w:eastAsia="zh-cn" w:bidi="zh-cn"/>
      </w:rPr>
    </w:lvl>
    <w:lvl w:ilvl="3">
      <w:start w:val="0"/>
      <w:numFmt w:val="bullet"/>
      <w:lvlText w:val="•"/>
      <w:lvlJc w:val="left"/>
      <w:pPr>
        <w:ind w:left="2266" w:hanging="601"/>
      </w:pPr>
      <w:rPr>
        <w:rFonts w:hint="default"/>
        <w:lang w:val="zh-cn" w:eastAsia="zh-cn" w:bidi="zh-cn"/>
      </w:rPr>
    </w:lvl>
    <w:lvl w:ilvl="4">
      <w:start w:val="0"/>
      <w:numFmt w:val="bullet"/>
      <w:lvlText w:val="•"/>
      <w:lvlJc w:val="left"/>
      <w:pPr>
        <w:ind w:left="2948" w:hanging="601"/>
      </w:pPr>
      <w:rPr>
        <w:rFonts w:hint="default"/>
        <w:lang w:val="zh-cn" w:eastAsia="zh-cn" w:bidi="zh-cn"/>
      </w:rPr>
    </w:lvl>
    <w:lvl w:ilvl="5">
      <w:start w:val="0"/>
      <w:numFmt w:val="bullet"/>
      <w:lvlText w:val="•"/>
      <w:lvlJc w:val="left"/>
      <w:pPr>
        <w:ind w:left="3630" w:hanging="601"/>
      </w:pPr>
      <w:rPr>
        <w:rFonts w:hint="default"/>
        <w:lang w:val="zh-cn" w:eastAsia="zh-cn" w:bidi="zh-cn"/>
      </w:rPr>
    </w:lvl>
    <w:lvl w:ilvl="6">
      <w:start w:val="0"/>
      <w:numFmt w:val="bullet"/>
      <w:lvlText w:val="•"/>
      <w:lvlJc w:val="left"/>
      <w:pPr>
        <w:ind w:left="4313" w:hanging="601"/>
      </w:pPr>
      <w:rPr>
        <w:rFonts w:hint="default"/>
        <w:lang w:val="zh-cn" w:eastAsia="zh-cn" w:bidi="zh-cn"/>
      </w:rPr>
    </w:lvl>
    <w:lvl w:ilvl="7">
      <w:start w:val="0"/>
      <w:numFmt w:val="bullet"/>
      <w:lvlText w:val="•"/>
      <w:lvlJc w:val="left"/>
      <w:pPr>
        <w:ind w:left="4995" w:hanging="601"/>
      </w:pPr>
      <w:rPr>
        <w:rFonts w:hint="default"/>
        <w:lang w:val="zh-cn" w:eastAsia="zh-cn" w:bidi="zh-cn"/>
      </w:rPr>
    </w:lvl>
    <w:lvl w:ilvl="8">
      <w:start w:val="0"/>
      <w:numFmt w:val="bullet"/>
      <w:lvlText w:val="•"/>
      <w:lvlJc w:val="left"/>
      <w:pPr>
        <w:ind w:left="5677" w:hanging="601"/>
      </w:pPr>
      <w:rPr>
        <w:rFonts w:hint="default"/>
        <w:lang w:val="zh-cn" w:eastAsia="zh-cn" w:bidi="zh-cn"/>
      </w:rPr>
    </w:lvl>
  </w:abstractNum>
  <w:abstractNum w:abstractNumId="4">
    <w:multiLevelType w:val="hybridMultilevel"/>
    <w:lvl w:ilvl="0">
      <w:start w:val="2"/>
      <w:numFmt w:val="decimal"/>
      <w:lvlText w:val="%1"/>
      <w:lvlJc w:val="left"/>
      <w:pPr>
        <w:ind w:left="217" w:hanging="361"/>
        <w:jc w:val="left"/>
      </w:pPr>
      <w:rPr>
        <w:rFonts w:hint="default"/>
        <w:lang w:val="zh-cn" w:eastAsia="zh-cn" w:bidi="zh-cn"/>
      </w:rPr>
    </w:lvl>
    <w:lvl w:ilvl="1">
      <w:start w:val="1"/>
      <w:numFmt w:val="decimal"/>
      <w:lvlText w:val="%1.%2"/>
      <w:lvlJc w:val="left"/>
      <w:pPr>
        <w:ind w:left="217" w:hanging="361"/>
        <w:jc w:val="left"/>
      </w:pPr>
      <w:rPr>
        <w:rFonts w:hint="default" w:ascii="宋体" w:hAnsi="宋体" w:eastAsia="宋体" w:cs="宋体"/>
        <w:spacing w:val="-1"/>
        <w:w w:val="100"/>
        <w:sz w:val="22"/>
        <w:szCs w:val="22"/>
        <w:lang w:val="zh-cn" w:eastAsia="zh-cn" w:bidi="zh-cn"/>
      </w:rPr>
    </w:lvl>
    <w:lvl w:ilvl="2">
      <w:start w:val="0"/>
      <w:numFmt w:val="bullet"/>
      <w:lvlText w:val="•"/>
      <w:lvlJc w:val="left"/>
      <w:pPr>
        <w:ind w:left="2345" w:hanging="361"/>
      </w:pPr>
      <w:rPr>
        <w:rFonts w:hint="default"/>
        <w:lang w:val="zh-cn" w:eastAsia="zh-cn" w:bidi="zh-cn"/>
      </w:rPr>
    </w:lvl>
    <w:lvl w:ilvl="3">
      <w:start w:val="0"/>
      <w:numFmt w:val="bullet"/>
      <w:lvlText w:val="•"/>
      <w:lvlJc w:val="left"/>
      <w:pPr>
        <w:ind w:left="3407" w:hanging="361"/>
      </w:pPr>
      <w:rPr>
        <w:rFonts w:hint="default"/>
        <w:lang w:val="zh-cn" w:eastAsia="zh-cn" w:bidi="zh-cn"/>
      </w:rPr>
    </w:lvl>
    <w:lvl w:ilvl="4">
      <w:start w:val="0"/>
      <w:numFmt w:val="bullet"/>
      <w:lvlText w:val="•"/>
      <w:lvlJc w:val="left"/>
      <w:pPr>
        <w:ind w:left="4470" w:hanging="361"/>
      </w:pPr>
      <w:rPr>
        <w:rFonts w:hint="default"/>
        <w:lang w:val="zh-cn" w:eastAsia="zh-cn" w:bidi="zh-cn"/>
      </w:rPr>
    </w:lvl>
    <w:lvl w:ilvl="5">
      <w:start w:val="0"/>
      <w:numFmt w:val="bullet"/>
      <w:lvlText w:val="•"/>
      <w:lvlJc w:val="left"/>
      <w:pPr>
        <w:ind w:left="5533" w:hanging="361"/>
      </w:pPr>
      <w:rPr>
        <w:rFonts w:hint="default"/>
        <w:lang w:val="zh-cn" w:eastAsia="zh-cn" w:bidi="zh-cn"/>
      </w:rPr>
    </w:lvl>
    <w:lvl w:ilvl="6">
      <w:start w:val="0"/>
      <w:numFmt w:val="bullet"/>
      <w:lvlText w:val="•"/>
      <w:lvlJc w:val="left"/>
      <w:pPr>
        <w:ind w:left="6595" w:hanging="361"/>
      </w:pPr>
      <w:rPr>
        <w:rFonts w:hint="default"/>
        <w:lang w:val="zh-cn" w:eastAsia="zh-cn" w:bidi="zh-cn"/>
      </w:rPr>
    </w:lvl>
    <w:lvl w:ilvl="7">
      <w:start w:val="0"/>
      <w:numFmt w:val="bullet"/>
      <w:lvlText w:val="•"/>
      <w:lvlJc w:val="left"/>
      <w:pPr>
        <w:ind w:left="7658" w:hanging="361"/>
      </w:pPr>
      <w:rPr>
        <w:rFonts w:hint="default"/>
        <w:lang w:val="zh-cn" w:eastAsia="zh-cn" w:bidi="zh-cn"/>
      </w:rPr>
    </w:lvl>
    <w:lvl w:ilvl="8">
      <w:start w:val="0"/>
      <w:numFmt w:val="bullet"/>
      <w:lvlText w:val="•"/>
      <w:lvlJc w:val="left"/>
      <w:pPr>
        <w:ind w:left="8721" w:hanging="361"/>
      </w:pPr>
      <w:rPr>
        <w:rFonts w:hint="default"/>
        <w:lang w:val="zh-cn" w:eastAsia="zh-cn" w:bidi="zh-cn"/>
      </w:rPr>
    </w:lvl>
  </w:abstractNum>
  <w:abstractNum w:abstractNumId="3">
    <w:multiLevelType w:val="hybridMultilevel"/>
    <w:lvl w:ilvl="0">
      <w:start w:val="1"/>
      <w:numFmt w:val="decimal"/>
      <w:lvlText w:val="%1"/>
      <w:lvlJc w:val="left"/>
      <w:pPr>
        <w:ind w:left="217" w:hanging="480"/>
        <w:jc w:val="left"/>
      </w:pPr>
      <w:rPr>
        <w:rFonts w:hint="default"/>
        <w:lang w:val="zh-cn" w:eastAsia="zh-cn" w:bidi="zh-cn"/>
      </w:rPr>
    </w:lvl>
    <w:lvl w:ilvl="1">
      <w:start w:val="2"/>
      <w:numFmt w:val="decimal"/>
      <w:lvlText w:val="%1.%2"/>
      <w:lvlJc w:val="left"/>
      <w:pPr>
        <w:ind w:left="217"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345" w:hanging="480"/>
      </w:pPr>
      <w:rPr>
        <w:rFonts w:hint="default"/>
        <w:lang w:val="zh-cn" w:eastAsia="zh-cn" w:bidi="zh-cn"/>
      </w:rPr>
    </w:lvl>
    <w:lvl w:ilvl="3">
      <w:start w:val="0"/>
      <w:numFmt w:val="bullet"/>
      <w:lvlText w:val="•"/>
      <w:lvlJc w:val="left"/>
      <w:pPr>
        <w:ind w:left="3407" w:hanging="480"/>
      </w:pPr>
      <w:rPr>
        <w:rFonts w:hint="default"/>
        <w:lang w:val="zh-cn" w:eastAsia="zh-cn" w:bidi="zh-cn"/>
      </w:rPr>
    </w:lvl>
    <w:lvl w:ilvl="4">
      <w:start w:val="0"/>
      <w:numFmt w:val="bullet"/>
      <w:lvlText w:val="•"/>
      <w:lvlJc w:val="left"/>
      <w:pPr>
        <w:ind w:left="4470" w:hanging="480"/>
      </w:pPr>
      <w:rPr>
        <w:rFonts w:hint="default"/>
        <w:lang w:val="zh-cn" w:eastAsia="zh-cn" w:bidi="zh-cn"/>
      </w:rPr>
    </w:lvl>
    <w:lvl w:ilvl="5">
      <w:start w:val="0"/>
      <w:numFmt w:val="bullet"/>
      <w:lvlText w:val="•"/>
      <w:lvlJc w:val="left"/>
      <w:pPr>
        <w:ind w:left="5533" w:hanging="480"/>
      </w:pPr>
      <w:rPr>
        <w:rFonts w:hint="default"/>
        <w:lang w:val="zh-cn" w:eastAsia="zh-cn" w:bidi="zh-cn"/>
      </w:rPr>
    </w:lvl>
    <w:lvl w:ilvl="6">
      <w:start w:val="0"/>
      <w:numFmt w:val="bullet"/>
      <w:lvlText w:val="•"/>
      <w:lvlJc w:val="left"/>
      <w:pPr>
        <w:ind w:left="6595" w:hanging="480"/>
      </w:pPr>
      <w:rPr>
        <w:rFonts w:hint="default"/>
        <w:lang w:val="zh-cn" w:eastAsia="zh-cn" w:bidi="zh-cn"/>
      </w:rPr>
    </w:lvl>
    <w:lvl w:ilvl="7">
      <w:start w:val="0"/>
      <w:numFmt w:val="bullet"/>
      <w:lvlText w:val="•"/>
      <w:lvlJc w:val="left"/>
      <w:pPr>
        <w:ind w:left="7658" w:hanging="480"/>
      </w:pPr>
      <w:rPr>
        <w:rFonts w:hint="default"/>
        <w:lang w:val="zh-cn" w:eastAsia="zh-cn" w:bidi="zh-cn"/>
      </w:rPr>
    </w:lvl>
    <w:lvl w:ilvl="8">
      <w:start w:val="0"/>
      <w:numFmt w:val="bullet"/>
      <w:lvlText w:val="•"/>
      <w:lvlJc w:val="left"/>
      <w:pPr>
        <w:ind w:left="8721" w:hanging="480"/>
      </w:pPr>
      <w:rPr>
        <w:rFonts w:hint="default"/>
        <w:lang w:val="zh-cn" w:eastAsia="zh-cn" w:bidi="zh-cn"/>
      </w:rPr>
    </w:lvl>
  </w:abstractNum>
  <w:abstractNum w:abstractNumId="2">
    <w:multiLevelType w:val="hybridMultilevel"/>
    <w:lvl w:ilvl="0">
      <w:start w:val="10"/>
      <w:numFmt w:val="decimal"/>
      <w:lvlText w:val="%1."/>
      <w:lvlJc w:val="left"/>
      <w:pPr>
        <w:ind w:left="991" w:hanging="307"/>
        <w:jc w:val="left"/>
      </w:pPr>
      <w:rPr>
        <w:rFonts w:hint="default" w:ascii="Calibri" w:hAnsi="Calibri" w:eastAsia="Calibri" w:cs="Calibri"/>
        <w:spacing w:val="-1"/>
        <w:w w:val="100"/>
        <w:sz w:val="22"/>
        <w:szCs w:val="22"/>
        <w:lang w:val="zh-cn" w:eastAsia="zh-cn" w:bidi="zh-cn"/>
      </w:rPr>
    </w:lvl>
    <w:lvl w:ilvl="1">
      <w:start w:val="2"/>
      <w:numFmt w:val="decimal"/>
      <w:lvlText w:val="%2."/>
      <w:lvlJc w:val="left"/>
      <w:pPr>
        <w:ind w:left="1598" w:hanging="181"/>
        <w:jc w:val="left"/>
      </w:pPr>
      <w:rPr>
        <w:rFonts w:hint="default" w:ascii="Times New Roman" w:hAnsi="Times New Roman" w:eastAsia="Times New Roman" w:cs="Times New Roman"/>
        <w:w w:val="100"/>
        <w:sz w:val="22"/>
        <w:szCs w:val="22"/>
        <w:lang w:val="zh-cn" w:eastAsia="zh-cn" w:bidi="zh-cn"/>
      </w:rPr>
    </w:lvl>
    <w:lvl w:ilvl="2">
      <w:start w:val="0"/>
      <w:numFmt w:val="bullet"/>
      <w:lvlText w:val="•"/>
      <w:lvlJc w:val="left"/>
      <w:pPr>
        <w:ind w:left="2627" w:hanging="181"/>
      </w:pPr>
      <w:rPr>
        <w:rFonts w:hint="default"/>
        <w:lang w:val="zh-cn" w:eastAsia="zh-cn" w:bidi="zh-cn"/>
      </w:rPr>
    </w:lvl>
    <w:lvl w:ilvl="3">
      <w:start w:val="0"/>
      <w:numFmt w:val="bullet"/>
      <w:lvlText w:val="•"/>
      <w:lvlJc w:val="left"/>
      <w:pPr>
        <w:ind w:left="3654" w:hanging="181"/>
      </w:pPr>
      <w:rPr>
        <w:rFonts w:hint="default"/>
        <w:lang w:val="zh-cn" w:eastAsia="zh-cn" w:bidi="zh-cn"/>
      </w:rPr>
    </w:lvl>
    <w:lvl w:ilvl="4">
      <w:start w:val="0"/>
      <w:numFmt w:val="bullet"/>
      <w:lvlText w:val="•"/>
      <w:lvlJc w:val="left"/>
      <w:pPr>
        <w:ind w:left="4682" w:hanging="181"/>
      </w:pPr>
      <w:rPr>
        <w:rFonts w:hint="default"/>
        <w:lang w:val="zh-cn" w:eastAsia="zh-cn" w:bidi="zh-cn"/>
      </w:rPr>
    </w:lvl>
    <w:lvl w:ilvl="5">
      <w:start w:val="0"/>
      <w:numFmt w:val="bullet"/>
      <w:lvlText w:val="•"/>
      <w:lvlJc w:val="left"/>
      <w:pPr>
        <w:ind w:left="5709" w:hanging="181"/>
      </w:pPr>
      <w:rPr>
        <w:rFonts w:hint="default"/>
        <w:lang w:val="zh-cn" w:eastAsia="zh-cn" w:bidi="zh-cn"/>
      </w:rPr>
    </w:lvl>
    <w:lvl w:ilvl="6">
      <w:start w:val="0"/>
      <w:numFmt w:val="bullet"/>
      <w:lvlText w:val="•"/>
      <w:lvlJc w:val="left"/>
      <w:pPr>
        <w:ind w:left="6736" w:hanging="181"/>
      </w:pPr>
      <w:rPr>
        <w:rFonts w:hint="default"/>
        <w:lang w:val="zh-cn" w:eastAsia="zh-cn" w:bidi="zh-cn"/>
      </w:rPr>
    </w:lvl>
    <w:lvl w:ilvl="7">
      <w:start w:val="0"/>
      <w:numFmt w:val="bullet"/>
      <w:lvlText w:val="•"/>
      <w:lvlJc w:val="left"/>
      <w:pPr>
        <w:ind w:left="7764" w:hanging="181"/>
      </w:pPr>
      <w:rPr>
        <w:rFonts w:hint="default"/>
        <w:lang w:val="zh-cn" w:eastAsia="zh-cn" w:bidi="zh-cn"/>
      </w:rPr>
    </w:lvl>
    <w:lvl w:ilvl="8">
      <w:start w:val="0"/>
      <w:numFmt w:val="bullet"/>
      <w:lvlText w:val="•"/>
      <w:lvlJc w:val="left"/>
      <w:pPr>
        <w:ind w:left="8791" w:hanging="181"/>
      </w:pPr>
      <w:rPr>
        <w:rFonts w:hint="default"/>
        <w:lang w:val="zh-cn" w:eastAsia="zh-cn" w:bidi="zh-cn"/>
      </w:rPr>
    </w:lvl>
  </w:abstractNum>
  <w:num w:numId="6">
    <w:abstractNumId w:val="5"/>
  </w:num>
  <w:num w:numId="2">
    <w:abstractNumId w:val="1"/>
  </w:num>
  <w:num w:numId="1">
    <w:abstractNumId w:val="0"/>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01"/>
      <w:ind w:right="91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42"/>
      <w:ind w:right="914"/>
      <w:jc w:val="center"/>
    </w:pPr>
    <w:rPr>
      <w:rFonts w:ascii="华文楷体" w:hAnsi="华文楷体" w:eastAsia="华文楷体" w:cs="华文楷体"/>
      <w:b/>
      <w:bCs/>
      <w:sz w:val="28"/>
      <w:szCs w:val="28"/>
      <w:lang w:val="zh-cn" w:eastAsia="zh-cn" w:bidi="zh-cn"/>
    </w:rPr>
  </w:style>
  <w:style w:styleId="TOC3" w:type="paragraph">
    <w:name w:val="TOC 3"/>
    <w:basedOn w:val="Normal"/>
    <w:uiPriority w:val="1"/>
    <w:qFormat/>
    <w:pPr>
      <w:spacing w:before="40"/>
      <w:ind w:right="911"/>
      <w:jc w:val="center"/>
    </w:pPr>
    <w:rPr>
      <w:rFonts w:ascii="华文楷体" w:hAnsi="华文楷体" w:eastAsia="华文楷体" w:cs="华文楷体"/>
      <w:sz w:val="28"/>
      <w:szCs w:val="28"/>
      <w:lang w:val="zh-cn" w:eastAsia="zh-cn" w:bidi="zh-cn"/>
    </w:rPr>
  </w:style>
  <w:style w:styleId="TOC4" w:type="paragraph">
    <w:name w:val="TOC 4"/>
    <w:basedOn w:val="Normal"/>
    <w:uiPriority w:val="1"/>
    <w:qFormat/>
    <w:pPr>
      <w:spacing w:before="40"/>
      <w:ind w:right="911"/>
      <w:jc w:val="center"/>
    </w:pPr>
    <w:rPr>
      <w:rFonts w:ascii="华文楷体" w:hAnsi="华文楷体" w:eastAsia="华文楷体" w:cs="华文楷体"/>
      <w:b/>
      <w:bCs/>
      <w:i/>
      <w:lang w:val="zh-cn" w:eastAsia="zh-cn" w:bidi="zh-cn"/>
    </w:rPr>
  </w:style>
  <w:style w:styleId="TOC5" w:type="paragraph">
    <w:name w:val="TOC 5"/>
    <w:basedOn w:val="Normal"/>
    <w:uiPriority w:val="1"/>
    <w:qFormat/>
    <w:pPr>
      <w:spacing w:before="40"/>
      <w:ind w:left="428"/>
    </w:pPr>
    <w:rPr>
      <w:rFonts w:ascii="华文楷体" w:hAnsi="华文楷体" w:eastAsia="华文楷体" w:cs="华文楷体"/>
      <w:b/>
      <w:bCs/>
      <w:sz w:val="28"/>
      <w:szCs w:val="28"/>
      <w:lang w:val="zh-cn" w:eastAsia="zh-cn" w:bidi="zh-cn"/>
    </w:rPr>
  </w:style>
  <w:style w:styleId="TOC6" w:type="paragraph">
    <w:name w:val="TOC 6"/>
    <w:basedOn w:val="Normal"/>
    <w:uiPriority w:val="1"/>
    <w:qFormat/>
    <w:pPr>
      <w:spacing w:before="40"/>
      <w:ind w:left="428"/>
    </w:pPr>
    <w:rPr>
      <w:rFonts w:ascii="华文楷体" w:hAnsi="华文楷体" w:eastAsia="华文楷体" w:cs="华文楷体"/>
      <w:sz w:val="28"/>
      <w:szCs w:val="28"/>
      <w:lang w:val="zh-cn" w:eastAsia="zh-cn" w:bidi="zh-cn"/>
    </w:rPr>
  </w:style>
  <w:style w:styleId="TOC7" w:type="paragraph">
    <w:name w:val="TOC 7"/>
    <w:basedOn w:val="Normal"/>
    <w:uiPriority w:val="1"/>
    <w:qFormat/>
    <w:pPr>
      <w:spacing w:before="43"/>
      <w:ind w:left="428"/>
    </w:pPr>
    <w:rPr>
      <w:rFonts w:ascii="华文楷体" w:hAnsi="华文楷体" w:eastAsia="华文楷体" w:cs="华文楷体"/>
      <w:b/>
      <w:bCs/>
      <w:i/>
      <w:lang w:val="zh-cn" w:eastAsia="zh-cn" w:bidi="zh-cn"/>
    </w:rPr>
  </w:style>
  <w:style w:styleId="BodyText" w:type="paragraph">
    <w:name w:val="Body Text"/>
    <w:basedOn w:val="Normal"/>
    <w:uiPriority w:val="1"/>
    <w:qFormat/>
    <w:pPr>
      <w:ind w:left="217"/>
    </w:pPr>
    <w:rPr>
      <w:rFonts w:ascii="宋体" w:hAnsi="宋体" w:eastAsia="宋体" w:cs="宋体"/>
      <w:sz w:val="24"/>
      <w:szCs w:val="24"/>
      <w:lang w:val="zh-cn" w:eastAsia="zh-cn" w:bidi="zh-cn"/>
    </w:rPr>
  </w:style>
  <w:style w:styleId="Heading1" w:type="paragraph">
    <w:name w:val="Heading 1"/>
    <w:basedOn w:val="Normal"/>
    <w:uiPriority w:val="1"/>
    <w:qFormat/>
    <w:pPr>
      <w:ind w:left="217"/>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1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699"/>
      <w:outlineLvl w:val="3"/>
    </w:pPr>
    <w:rPr>
      <w:rFonts w:ascii="楷体" w:hAnsi="楷体" w:eastAsia="楷体" w:cs="楷体"/>
      <w:b/>
      <w:bCs/>
      <w:sz w:val="24"/>
      <w:szCs w:val="24"/>
      <w:lang w:val="zh-cn" w:eastAsia="zh-cn" w:bidi="zh-cn"/>
    </w:rPr>
  </w:style>
  <w:style w:styleId="ListParagraph" w:type="paragraph">
    <w:name w:val="List Paragraph"/>
    <w:basedOn w:val="Normal"/>
    <w:uiPriority w:val="1"/>
    <w:qFormat/>
    <w:pPr>
      <w:ind w:left="217" w:firstLine="480"/>
    </w:pPr>
    <w:rPr>
      <w:rFonts w:ascii="宋体" w:hAnsi="宋体" w:eastAsia="宋体" w:cs="宋体"/>
      <w:lang w:val="zh-cn" w:eastAsia="zh-cn" w:bidi="zh-cn"/>
    </w:rPr>
  </w:style>
  <w:style w:styleId="TableParagraph" w:type="paragraph">
    <w:name w:val="Table Paragraph"/>
    <w:basedOn w:val="Normal"/>
    <w:uiPriority w:val="1"/>
    <w:qFormat/>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linyao.net/" TargetMode="Externa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hyperlink" Target="http://www.nmpa.gov.cn/WS04/CL2115/334298.html" TargetMode="External"/><Relationship Id="rId14" Type="http://schemas.openxmlformats.org/officeDocument/2006/relationships/hyperlink" Target="http://www.nmpa.gov.cn/WS04/CL2115/334462.html" TargetMode="External"/><Relationship Id="rId15" Type="http://schemas.openxmlformats.org/officeDocument/2006/relationships/hyperlink" Target="http://www.nmpa.gov.cn/WS04/CL2115/334461.html"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33" Type="http://schemas.openxmlformats.org/officeDocument/2006/relationships/image" Target="media/image19.jpeg"/><Relationship Id="rId34" Type="http://schemas.openxmlformats.org/officeDocument/2006/relationships/image" Target="media/image20.jpeg"/><Relationship Id="rId35" Type="http://schemas.openxmlformats.org/officeDocument/2006/relationships/image" Target="media/image21.jpeg"/><Relationship Id="rId36" Type="http://schemas.openxmlformats.org/officeDocument/2006/relationships/image" Target="media/image22.jpeg"/><Relationship Id="rId37" Type="http://schemas.openxmlformats.org/officeDocument/2006/relationships/image" Target="media/image23.jpe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2019-04-01T01:50:49Z</dcterms:created>
  <dcterms:modified xsi:type="dcterms:W3CDTF">2019-04-01T01:50:49Z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Office Word 2007</vt:lpwstr>
  </property>
  <property fmtid="{D5CDD505-2E9C-101B-9397-08002B2CF9AE}" pid="4" name="LastSaved">
    <vt:filetime>2019-04-01T00:00:00Z</vt:filetime>
  </property>
</Properties>
</file>