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27A" w:rsidRPr="005B327A" w:rsidRDefault="00990917" w:rsidP="005B327A">
      <w:pPr>
        <w:spacing w:after="0" w:line="360" w:lineRule="exact"/>
        <w:rPr>
          <w:rFonts w:ascii="宋体" w:eastAsia="仿宋_GB2312" w:hAnsi="宋体" w:cs="宋体"/>
          <w:bCs/>
          <w:sz w:val="32"/>
          <w:szCs w:val="32"/>
        </w:rPr>
      </w:pPr>
      <w:bookmarkStart w:id="0" w:name="_Hlk510609422"/>
      <w:r>
        <w:rPr>
          <w:rFonts w:ascii="宋体" w:eastAsia="仿宋_GB2312" w:hAnsi="宋体" w:cs="宋体" w:hint="eastAsia"/>
          <w:bCs/>
          <w:sz w:val="32"/>
          <w:szCs w:val="32"/>
        </w:rPr>
        <w:t>附件</w:t>
      </w:r>
      <w:r>
        <w:rPr>
          <w:rFonts w:ascii="宋体" w:eastAsia="仿宋_GB2312" w:hAnsi="宋体" w:cs="宋体" w:hint="eastAsia"/>
          <w:bCs/>
          <w:sz w:val="32"/>
          <w:szCs w:val="32"/>
        </w:rPr>
        <w:t>1</w:t>
      </w:r>
    </w:p>
    <w:p w:rsidR="00A07AB7" w:rsidRPr="00516047" w:rsidRDefault="009853FA" w:rsidP="005B327A">
      <w:pPr>
        <w:spacing w:after="0" w:line="460" w:lineRule="exact"/>
        <w:jc w:val="center"/>
        <w:rPr>
          <w:rFonts w:ascii="宋体" w:eastAsia="华文中宋" w:hAnsi="宋体" w:cs="宋体"/>
          <w:bCs/>
          <w:sz w:val="36"/>
          <w:szCs w:val="36"/>
        </w:rPr>
      </w:pPr>
      <w:r w:rsidRPr="00516047">
        <w:rPr>
          <w:rFonts w:ascii="宋体" w:eastAsia="华文中宋" w:hAnsi="宋体" w:cs="宋体"/>
          <w:bCs/>
          <w:sz w:val="36"/>
          <w:szCs w:val="36"/>
        </w:rPr>
        <w:t>ICH</w:t>
      </w:r>
      <w:r w:rsidR="005B327A" w:rsidRPr="00516047">
        <w:rPr>
          <w:rFonts w:ascii="宋体" w:eastAsia="华文中宋" w:hAnsi="宋体" w:cs="宋体" w:hint="eastAsia"/>
          <w:bCs/>
          <w:sz w:val="36"/>
          <w:szCs w:val="36"/>
          <w:lang w:val="zh-TW"/>
        </w:rPr>
        <w:t>药物警戒相关指导原则实施</w:t>
      </w:r>
      <w:r w:rsidRPr="00516047">
        <w:rPr>
          <w:rFonts w:ascii="宋体" w:eastAsia="华文中宋" w:hAnsi="宋体" w:cs="宋体"/>
          <w:bCs/>
          <w:sz w:val="36"/>
          <w:szCs w:val="36"/>
          <w:lang w:val="zh-TW" w:eastAsia="zh-TW"/>
        </w:rPr>
        <w:t>研讨会</w:t>
      </w:r>
    </w:p>
    <w:p w:rsidR="00A07AB7" w:rsidRPr="005B327A" w:rsidRDefault="005B327A" w:rsidP="005B327A">
      <w:pPr>
        <w:spacing w:after="0" w:line="460" w:lineRule="exact"/>
        <w:jc w:val="center"/>
        <w:rPr>
          <w:rFonts w:ascii="宋体" w:eastAsia="PMingLiU" w:hAnsi="宋体" w:cs="宋体"/>
          <w:b/>
          <w:bCs/>
          <w:sz w:val="36"/>
          <w:szCs w:val="36"/>
        </w:rPr>
      </w:pPr>
      <w:r w:rsidRPr="00516047">
        <w:rPr>
          <w:rFonts w:ascii="宋体" w:eastAsia="华文中宋" w:hAnsi="宋体" w:cs="宋体" w:hint="eastAsia"/>
          <w:bCs/>
          <w:sz w:val="36"/>
          <w:szCs w:val="36"/>
        </w:rPr>
        <w:t>初步</w:t>
      </w:r>
      <w:r w:rsidR="009853FA" w:rsidRPr="00516047">
        <w:rPr>
          <w:rFonts w:ascii="宋体" w:eastAsia="华文中宋" w:hAnsi="宋体" w:cs="宋体"/>
          <w:bCs/>
          <w:sz w:val="36"/>
          <w:szCs w:val="36"/>
          <w:lang w:val="zh-TW" w:eastAsia="zh-TW"/>
        </w:rPr>
        <w:t>日程</w:t>
      </w:r>
    </w:p>
    <w:p w:rsidR="005B327A" w:rsidRDefault="005B327A">
      <w:pPr>
        <w:spacing w:line="360" w:lineRule="exact"/>
        <w:jc w:val="center"/>
        <w:rPr>
          <w:rFonts w:ascii="仿宋" w:eastAsia="PMingLiU" w:hAnsi="仿宋" w:cs="仿宋"/>
          <w:sz w:val="28"/>
          <w:szCs w:val="28"/>
          <w:lang w:val="zh-TW" w:eastAsia="zh-TW"/>
        </w:rPr>
      </w:pPr>
    </w:p>
    <w:p w:rsidR="00A07AB7" w:rsidRPr="005B327A" w:rsidRDefault="009853FA">
      <w:pPr>
        <w:spacing w:line="360" w:lineRule="exact"/>
        <w:jc w:val="center"/>
        <w:rPr>
          <w:rFonts w:ascii="仿宋" w:eastAsia="楷体_GB2312" w:hAnsi="仿宋" w:cs="仿宋"/>
          <w:sz w:val="28"/>
          <w:szCs w:val="28"/>
        </w:rPr>
      </w:pP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>时间：</w:t>
      </w:r>
      <w:r w:rsidRPr="005B327A">
        <w:rPr>
          <w:rFonts w:ascii="仿宋" w:eastAsia="楷体_GB2312" w:hAnsi="仿宋" w:cs="仿宋" w:hint="eastAsia"/>
          <w:sz w:val="28"/>
          <w:szCs w:val="28"/>
        </w:rPr>
        <w:t>2018</w:t>
      </w: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>年</w:t>
      </w:r>
      <w:r w:rsidRPr="005B327A">
        <w:rPr>
          <w:rFonts w:ascii="仿宋" w:eastAsia="楷体_GB2312" w:hAnsi="仿宋" w:cs="仿宋" w:hint="eastAsia"/>
          <w:sz w:val="28"/>
          <w:szCs w:val="28"/>
        </w:rPr>
        <w:t>4</w:t>
      </w: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>月</w:t>
      </w:r>
      <w:r w:rsidRPr="005B327A">
        <w:rPr>
          <w:rFonts w:ascii="仿宋" w:eastAsia="楷体_GB2312" w:hAnsi="仿宋" w:cs="仿宋" w:hint="eastAsia"/>
          <w:sz w:val="28"/>
          <w:szCs w:val="28"/>
        </w:rPr>
        <w:t>21</w:t>
      </w: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>日</w:t>
      </w:r>
      <w:r w:rsidRPr="005B327A">
        <w:rPr>
          <w:rFonts w:ascii="微软雅黑" w:eastAsia="微软雅黑" w:hAnsi="微软雅黑" w:cs="微软雅黑" w:hint="eastAsia"/>
          <w:sz w:val="28"/>
          <w:szCs w:val="28"/>
          <w:lang w:val="en-US"/>
        </w:rPr>
        <w:t>–</w:t>
      </w:r>
      <w:r w:rsidRPr="005B327A">
        <w:rPr>
          <w:rFonts w:ascii="仿宋" w:eastAsia="楷体_GB2312" w:hAnsi="仿宋" w:cs="仿宋" w:hint="eastAsia"/>
          <w:sz w:val="28"/>
          <w:szCs w:val="28"/>
        </w:rPr>
        <w:t>22</w:t>
      </w: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>日</w:t>
      </w:r>
      <w:r w:rsidRPr="005B327A">
        <w:rPr>
          <w:rFonts w:ascii="仿宋" w:eastAsia="楷体_GB2312" w:hAnsi="仿宋" w:cs="仿宋" w:hint="eastAsia"/>
          <w:sz w:val="28"/>
          <w:szCs w:val="28"/>
          <w:lang w:val="zh-TW" w:eastAsia="zh-TW"/>
        </w:rPr>
        <w:t xml:space="preserve"> </w:t>
      </w:r>
      <w:r w:rsidRPr="005B327A">
        <w:rPr>
          <w:rFonts w:ascii="仿宋" w:eastAsia="楷体_GB2312" w:hAnsi="仿宋" w:cs="仿宋" w:hint="eastAsia"/>
          <w:sz w:val="28"/>
          <w:szCs w:val="28"/>
        </w:rPr>
        <w:t xml:space="preserve">      </w:t>
      </w:r>
    </w:p>
    <w:tbl>
      <w:tblPr>
        <w:tblStyle w:val="TableNormal"/>
        <w:tblW w:w="989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99"/>
        <w:gridCol w:w="5306"/>
        <w:gridCol w:w="2686"/>
      </w:tblGrid>
      <w:tr w:rsidR="00903519" w:rsidRPr="00903519" w:rsidTr="005B327A">
        <w:trPr>
          <w:trHeight w:val="411"/>
          <w:jc w:val="center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第一天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 xml:space="preserve"> 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 xml:space="preserve">  4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月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2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903519">
              <w:rPr>
                <w:rFonts w:ascii="Times New Roman" w:eastAsia="黑体" w:hAnsi="Times New Roman" w:cs="Times New Roman" w:hint="eastAsia"/>
                <w:b/>
                <w:color w:val="auto"/>
                <w:sz w:val="28"/>
                <w:szCs w:val="28"/>
              </w:rPr>
              <w:t>日</w:t>
            </w:r>
          </w:p>
        </w:tc>
      </w:tr>
      <w:tr w:rsidR="00903519" w:rsidRPr="00903519" w:rsidTr="005B327A">
        <w:trPr>
          <w:trHeight w:val="411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ind w:left="61" w:hanging="61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内容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jc w:val="center"/>
              <w:rPr>
                <w:rFonts w:ascii="Times New Roman" w:eastAsia="黑体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报告人</w:t>
            </w:r>
          </w:p>
        </w:tc>
      </w:tr>
      <w:tr w:rsidR="00903519" w:rsidRPr="00903519" w:rsidTr="00F4609E">
        <w:trPr>
          <w:trHeight w:val="424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2D5FDB" w:rsidRPr="00903519" w:rsidRDefault="002D5FDB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13:00 - 13:10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FDB" w:rsidRPr="00903519" w:rsidRDefault="002D5FDB">
            <w:pPr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开场介绍</w:t>
            </w:r>
          </w:p>
        </w:tc>
      </w:tr>
      <w:tr w:rsidR="00903519" w:rsidRPr="00903519" w:rsidTr="005B327A">
        <w:trPr>
          <w:trHeight w:val="778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13:10 - 13:40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5235B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我国临床试验中药物警戒工作框架、总体要求以及各方责任义务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45036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王涛（药审中心）</w:t>
            </w:r>
          </w:p>
        </w:tc>
      </w:tr>
      <w:tr w:rsidR="00903519" w:rsidRPr="00903519" w:rsidTr="005B327A">
        <w:trPr>
          <w:trHeight w:val="549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13:40 - 14:10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9866A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E2B(R3)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电子传送的要求和对接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流程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45036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待定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（药审中心）</w:t>
            </w:r>
          </w:p>
        </w:tc>
      </w:tr>
      <w:tr w:rsidR="00903519" w:rsidRPr="00903519" w:rsidTr="005B327A">
        <w:trPr>
          <w:trHeight w:val="774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14:10 - 14:40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5235B0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en-US"/>
              </w:rPr>
              <w:t>ICH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 w:eastAsia="zh-TW"/>
              </w:rPr>
              <w:t>关于上市前及上市后药物警戒相关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指导原则（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E2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系列）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 w:eastAsia="zh-TW"/>
              </w:rPr>
              <w:t>的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历史和纲要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FC0CE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 w:eastAsia="zh-TW"/>
              </w:rPr>
              <w:t>谭凌实（缔脉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CN"/>
              </w:rPr>
              <w:t>）</w:t>
            </w:r>
          </w:p>
        </w:tc>
      </w:tr>
      <w:tr w:rsidR="00903519" w:rsidRPr="00903519" w:rsidTr="00B9525B">
        <w:trPr>
          <w:trHeight w:val="509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2D5FDB" w:rsidRPr="00903519" w:rsidRDefault="002D5FDB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14:40 - 15:00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5FDB" w:rsidRPr="00903519" w:rsidRDefault="002D5FDB" w:rsidP="002D5FDB">
            <w:pPr>
              <w:jc w:val="center"/>
              <w:rPr>
                <w:rFonts w:ascii="Times New Roman" w:eastAsia="仿宋_GB2312" w:hAnsi="Times New Roman" w:cs="Times New Roman"/>
                <w:b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zh-TW" w:eastAsia="zh-TW"/>
              </w:rPr>
              <w:t>休息</w:t>
            </w:r>
          </w:p>
        </w:tc>
      </w:tr>
      <w:tr w:rsidR="00903519" w:rsidRPr="00903519" w:rsidTr="005B327A">
        <w:trPr>
          <w:trHeight w:val="717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15:00 - 16:00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9866A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医药企业如何建立符合要求的上市前及上市后药物警戒体系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195BF9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 w:eastAsia="zh-TW"/>
              </w:rPr>
              <w:t>李浩（泰格益坦）</w:t>
            </w:r>
          </w:p>
        </w:tc>
      </w:tr>
      <w:tr w:rsidR="00903519" w:rsidRPr="00903519" w:rsidTr="005B327A">
        <w:trPr>
          <w:trHeight w:val="636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16:00 - 16:45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5D6E" w:rsidRPr="00903519" w:rsidRDefault="00905D6E" w:rsidP="00EE1283">
            <w:pPr>
              <w:spacing w:after="0" w:line="360" w:lineRule="exact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个例安全性报告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数据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电子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传送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的基本概念与数据要素（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E2B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905D6E" w:rsidP="007A660F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马欢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 xml:space="preserve"> (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辉瑞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903519" w:rsidRPr="00903519" w:rsidTr="002D5FDB">
        <w:trPr>
          <w:trHeight w:val="441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16:45 - 17:30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小组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讨论与问答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PANEL DISCUSSION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）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21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全体报告人</w:t>
            </w:r>
          </w:p>
        </w:tc>
      </w:tr>
      <w:tr w:rsidR="00903519" w:rsidRPr="00903519" w:rsidTr="005B327A">
        <w:trPr>
          <w:trHeight w:val="347"/>
          <w:jc w:val="center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text2" w:themeFillTint="66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jc w:val="center"/>
              <w:rPr>
                <w:rFonts w:ascii="Times New Roman" w:eastAsia="楷体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第二天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 xml:space="preserve">     4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月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22</w:t>
            </w:r>
            <w:r w:rsidRPr="00903519">
              <w:rPr>
                <w:rFonts w:ascii="Times New Roman" w:eastAsia="黑体" w:hAnsi="Times New Roman" w:cs="Times New Roman"/>
                <w:b/>
                <w:color w:val="auto"/>
                <w:sz w:val="28"/>
                <w:szCs w:val="28"/>
              </w:rPr>
              <w:t>日</w:t>
            </w:r>
          </w:p>
        </w:tc>
      </w:tr>
      <w:tr w:rsidR="00903519" w:rsidRPr="00903519" w:rsidTr="002D5FDB">
        <w:trPr>
          <w:trHeight w:val="855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8:30 - 9:15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A93BC4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药事管理标准医学术语集（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MedDRA, M1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）概述、编码规则及使用时的考虑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孟渊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 xml:space="preserve"> (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强生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903519" w:rsidRPr="00903519" w:rsidTr="005B327A">
        <w:trPr>
          <w:trHeight w:val="745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9:15 - 10:00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905D6E" w:rsidP="00A93BC4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临床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试验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安全性数据管理（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E2A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）的实操要求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DA498E" w:rsidP="00A43A75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u w:color="548DD4"/>
                <w:lang w:val="zh-TW"/>
              </w:rPr>
              <w:t>祝蓉（缔脉）</w:t>
            </w:r>
          </w:p>
        </w:tc>
      </w:tr>
      <w:tr w:rsidR="00903519" w:rsidRPr="00903519" w:rsidTr="00B71A1B">
        <w:trPr>
          <w:trHeight w:val="406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10:00 - 10:15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休息</w:t>
            </w:r>
          </w:p>
        </w:tc>
      </w:tr>
      <w:tr w:rsidR="00903519" w:rsidRPr="00903519" w:rsidTr="002D5FDB">
        <w:trPr>
          <w:trHeight w:val="755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lastRenderedPageBreak/>
              <w:t>10:15 - 11:15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A93BC4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企业关于临床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试验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安全性数据管理（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E2A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）的实践经验分享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007BF7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朱明芳（</w:t>
            </w:r>
            <w:r w:rsidR="00905D6E" w:rsidRPr="00903519">
              <w:rPr>
                <w:rFonts w:ascii="Times New Roman" w:eastAsia="仿宋_GB2312" w:hAnsi="Times New Roman" w:cs="Times New Roman" w:hint="eastAsia"/>
                <w:color w:val="auto"/>
                <w:sz w:val="28"/>
                <w:szCs w:val="28"/>
                <w:u w:color="548DD4"/>
                <w:lang w:val="zh-TW"/>
              </w:rPr>
              <w:t>泰格益坦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/>
              </w:rPr>
              <w:t>）</w:t>
            </w:r>
          </w:p>
        </w:tc>
      </w:tr>
      <w:tr w:rsidR="00903519" w:rsidRPr="00903519" w:rsidTr="002D5FDB">
        <w:trPr>
          <w:trHeight w:val="809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11:15 - 12:00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F7421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上市前与上市后药物安全性数据管理的异同，以及如何提升安全性数据管理质量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F7421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548DD4"/>
                <w:lang w:val="zh-TW" w:eastAsia="zh-TW"/>
              </w:rPr>
              <w:t>唐雪（辉瑞）</w:t>
            </w:r>
          </w:p>
        </w:tc>
      </w:tr>
      <w:tr w:rsidR="00903519" w:rsidRPr="00903519" w:rsidTr="005B327A">
        <w:trPr>
          <w:trHeight w:val="367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12:00 - 13:30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午餐</w:t>
            </w:r>
          </w:p>
        </w:tc>
      </w:tr>
      <w:tr w:rsidR="00903519" w:rsidRPr="00903519" w:rsidTr="005B327A">
        <w:trPr>
          <w:trHeight w:val="577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13:30 - 14:15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E1D0C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企业关于上市前及上市后安全性更新报告（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E2F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、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E2</w:t>
            </w:r>
            <w:r w:rsidR="00A04AB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C</w:t>
            </w:r>
            <w:bookmarkStart w:id="1" w:name="_GoBack"/>
            <w:bookmarkEnd w:id="1"/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）的实践分享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E1D0C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苏敏实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 xml:space="preserve"> (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强生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)</w:t>
            </w:r>
          </w:p>
        </w:tc>
      </w:tr>
      <w:tr w:rsidR="00903519" w:rsidRPr="00903519" w:rsidTr="005B327A">
        <w:trPr>
          <w:trHeight w:val="738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14:15 - 15:00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7A6D45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企业关于上市前及上市后药物警戒风险管理计划（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E2E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）的实践分享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DA498E" w:rsidP="007A6D45">
            <w:pPr>
              <w:spacing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裘行敏</w:t>
            </w:r>
            <w:r w:rsidR="005B327A"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（辉瑞）</w:t>
            </w:r>
          </w:p>
        </w:tc>
      </w:tr>
      <w:tr w:rsidR="00903519" w:rsidRPr="00903519" w:rsidTr="007570BF">
        <w:trPr>
          <w:trHeight w:val="367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15:00 - 15:15</w:t>
            </w:r>
          </w:p>
        </w:tc>
        <w:tc>
          <w:tcPr>
            <w:tcW w:w="7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</w:pPr>
            <w:r w:rsidRPr="00903519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  <w:lang w:val="en-US"/>
              </w:rPr>
              <w:t>休息</w:t>
            </w:r>
          </w:p>
        </w:tc>
      </w:tr>
      <w:tr w:rsidR="00903519" w:rsidRPr="00903519" w:rsidTr="005B327A">
        <w:trPr>
          <w:trHeight w:val="470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FF0000"/>
                <w:lang w:val="en-US"/>
              </w:rPr>
              <w:t>15:15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 xml:space="preserve"> - 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u w:color="FF0000"/>
                <w:lang w:val="en-US"/>
              </w:rPr>
              <w:t>16:00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药物临床试验安全性评估与决策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 w:rsidP="00450362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CN"/>
              </w:rPr>
              <w:t>待定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（药审中心）</w:t>
            </w:r>
          </w:p>
        </w:tc>
      </w:tr>
      <w:tr w:rsidR="00903519" w:rsidRPr="00903519" w:rsidTr="002D5FDB">
        <w:trPr>
          <w:trHeight w:val="482"/>
          <w:jc w:val="center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6" w:type="dxa"/>
              <w:bottom w:w="80" w:type="dxa"/>
              <w:right w:w="80" w:type="dxa"/>
            </w:tcMar>
          </w:tcPr>
          <w:p w:rsidR="005B327A" w:rsidRPr="00903519" w:rsidRDefault="005B327A" w:rsidP="002D5FDB">
            <w:pPr>
              <w:spacing w:after="0" w:line="360" w:lineRule="exact"/>
              <w:ind w:left="16" w:hanging="16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16:00 - 17:00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en-US"/>
              </w:rPr>
              <w:t>小组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讨论与问答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（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PANEL DISCUSSION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）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327A" w:rsidRPr="00903519" w:rsidRDefault="005B327A">
            <w:pPr>
              <w:spacing w:after="0" w:line="360" w:lineRule="exact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</w:pP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22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日</w:t>
            </w:r>
            <w:r w:rsidRPr="00903519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 w:eastAsia="zh-TW"/>
              </w:rPr>
              <w:t>全体报告人</w:t>
            </w:r>
          </w:p>
        </w:tc>
      </w:tr>
      <w:bookmarkEnd w:id="0"/>
    </w:tbl>
    <w:p w:rsidR="00A07AB7" w:rsidRDefault="00A07AB7" w:rsidP="002D5FDB">
      <w:pPr>
        <w:pStyle w:val="a5"/>
        <w:widowControl w:val="0"/>
        <w:spacing w:line="240" w:lineRule="auto"/>
        <w:ind w:firstLine="0"/>
        <w:rPr>
          <w:rFonts w:eastAsiaTheme="minorEastAsia"/>
        </w:rPr>
      </w:pPr>
    </w:p>
    <w:sectPr w:rsidR="00A07AB7" w:rsidSect="00A07AB7">
      <w:pgSz w:w="12240" w:h="15840"/>
      <w:pgMar w:top="1191" w:right="1797" w:bottom="107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97A" w:rsidRDefault="0027797A" w:rsidP="00A07AB7">
      <w:pPr>
        <w:spacing w:after="0" w:line="240" w:lineRule="auto"/>
      </w:pPr>
      <w:r>
        <w:separator/>
      </w:r>
    </w:p>
  </w:endnote>
  <w:endnote w:type="continuationSeparator" w:id="0">
    <w:p w:rsidR="0027797A" w:rsidRDefault="0027797A" w:rsidP="00A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97A" w:rsidRDefault="0027797A" w:rsidP="00A07AB7">
      <w:pPr>
        <w:spacing w:after="0" w:line="240" w:lineRule="auto"/>
      </w:pPr>
      <w:r>
        <w:separator/>
      </w:r>
    </w:p>
  </w:footnote>
  <w:footnote w:type="continuationSeparator" w:id="0">
    <w:p w:rsidR="0027797A" w:rsidRDefault="0027797A" w:rsidP="00A07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AB7"/>
    <w:rsid w:val="00007BF7"/>
    <w:rsid w:val="00033F17"/>
    <w:rsid w:val="000B6F71"/>
    <w:rsid w:val="000B7B83"/>
    <w:rsid w:val="000F05CF"/>
    <w:rsid w:val="00122F8A"/>
    <w:rsid w:val="00223E57"/>
    <w:rsid w:val="0023256A"/>
    <w:rsid w:val="0027797A"/>
    <w:rsid w:val="0028311B"/>
    <w:rsid w:val="0029729B"/>
    <w:rsid w:val="002D5FDB"/>
    <w:rsid w:val="002F2F49"/>
    <w:rsid w:val="00303D0B"/>
    <w:rsid w:val="00450362"/>
    <w:rsid w:val="00483A2E"/>
    <w:rsid w:val="0049058B"/>
    <w:rsid w:val="00502ACF"/>
    <w:rsid w:val="00516047"/>
    <w:rsid w:val="005235B0"/>
    <w:rsid w:val="00552D74"/>
    <w:rsid w:val="00595F87"/>
    <w:rsid w:val="005B327A"/>
    <w:rsid w:val="00626AAB"/>
    <w:rsid w:val="006347B1"/>
    <w:rsid w:val="006622A4"/>
    <w:rsid w:val="00673C0A"/>
    <w:rsid w:val="00674E7F"/>
    <w:rsid w:val="00686E65"/>
    <w:rsid w:val="006B5322"/>
    <w:rsid w:val="006C2DAC"/>
    <w:rsid w:val="006C3B8F"/>
    <w:rsid w:val="006E0AE3"/>
    <w:rsid w:val="00701B96"/>
    <w:rsid w:val="00704234"/>
    <w:rsid w:val="00741DCE"/>
    <w:rsid w:val="0075433E"/>
    <w:rsid w:val="00773E69"/>
    <w:rsid w:val="00795EED"/>
    <w:rsid w:val="007A660F"/>
    <w:rsid w:val="008D5046"/>
    <w:rsid w:val="00903519"/>
    <w:rsid w:val="00905D6E"/>
    <w:rsid w:val="00931CBD"/>
    <w:rsid w:val="009853FA"/>
    <w:rsid w:val="009866AA"/>
    <w:rsid w:val="00990917"/>
    <w:rsid w:val="00A04ABA"/>
    <w:rsid w:val="00A07AB7"/>
    <w:rsid w:val="00A43A75"/>
    <w:rsid w:val="00A93BC4"/>
    <w:rsid w:val="00A956F7"/>
    <w:rsid w:val="00AE738B"/>
    <w:rsid w:val="00B152BC"/>
    <w:rsid w:val="00B7684F"/>
    <w:rsid w:val="00B81222"/>
    <w:rsid w:val="00B84824"/>
    <w:rsid w:val="00C3103D"/>
    <w:rsid w:val="00DA498E"/>
    <w:rsid w:val="00DC251E"/>
    <w:rsid w:val="00E30503"/>
    <w:rsid w:val="00E4011B"/>
    <w:rsid w:val="00E65BA5"/>
    <w:rsid w:val="00E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00A4C"/>
  <w15:docId w15:val="{D645CBA7-B2BB-42D5-A297-3160678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07AB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7AB7"/>
    <w:rPr>
      <w:u w:val="single"/>
    </w:rPr>
  </w:style>
  <w:style w:type="table" w:customStyle="1" w:styleId="TableNormal">
    <w:name w:val="Table Normal"/>
    <w:rsid w:val="00A07A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rsid w:val="00A07AB7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a5">
    <w:name w:val="List Paragraph"/>
    <w:rsid w:val="00A07AB7"/>
    <w:pPr>
      <w:spacing w:after="160" w:line="259" w:lineRule="auto"/>
      <w:ind w:firstLine="4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header"/>
    <w:basedOn w:val="a"/>
    <w:link w:val="a7"/>
    <w:uiPriority w:val="99"/>
    <w:unhideWhenUsed/>
    <w:rsid w:val="00795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8">
    <w:name w:val="footer"/>
    <w:basedOn w:val="a"/>
    <w:link w:val="a9"/>
    <w:uiPriority w:val="99"/>
    <w:unhideWhenUsed/>
    <w:rsid w:val="00795EE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  <w:style w:type="paragraph" w:styleId="aa">
    <w:name w:val="Balloon Text"/>
    <w:basedOn w:val="a"/>
    <w:link w:val="ab"/>
    <w:uiPriority w:val="99"/>
    <w:semiHidden/>
    <w:unhideWhenUsed/>
    <w:rsid w:val="00795EED"/>
    <w:pPr>
      <w:spacing w:after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95EED"/>
    <w:rPr>
      <w:rFonts w:ascii="Calibri" w:eastAsia="Calibri" w:hAnsi="Calibri" w:cs="Calibri"/>
      <w:color w:val="000000"/>
      <w:sz w:val="18"/>
      <w:szCs w:val="18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</dc:creator>
  <cp:lastModifiedBy>wangxj</cp:lastModifiedBy>
  <cp:revision>12</cp:revision>
  <cp:lastPrinted>2018-03-23T09:11:00Z</cp:lastPrinted>
  <dcterms:created xsi:type="dcterms:W3CDTF">2018-03-22T07:14:00Z</dcterms:created>
  <dcterms:modified xsi:type="dcterms:W3CDTF">2018-04-08T07:45:00Z</dcterms:modified>
</cp:coreProperties>
</file>